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>CAR-SOP-002: კარდიოლოგიური პროცედურების უსაფრთხოების სტანდარტი</w:t>
      </w:r>
      <w:r/>
      <w:r/>
      <w:r/>
      <w:r/>
      <w:r/>
      <w:r/>
      <w:r/>
      <w:r/>
    </w:p>
    <w:tbl>
      <w:tblPr>
        <w:tblStyle w:val="Table"/>
        <w:tblW w:type="pct" w:w="5000"/>
        <w:tblLook w:firstRow="0" w:lastRow="0" w:firstColumn="0" w:lastColumn="0" w:noHBand="0" w:noVBand="0" w:val="0000"/>
        <w:jc w:val="start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  <w:jc w:val="left"/>
            </w:pPr>
            <w:r>
              <w:t>ორგანიზაციის სახელი</w:t>
            </w:r>
          </w:p>
          <w:p>
            <w:pPr>
              <w:pStyle w:val="Compact"/>
              <w:jc w:val="left"/>
            </w:pPr>
            <w:r>
              <w:t>ობიექტი ან განყოფილება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>სტანდარტული საოპერაციო პროცედურა</w:t>
            </w:r>
          </w:p>
          <w:p>
            <w:pPr>
              <w:pStyle w:val="Compact"/>
              <w:jc w:val="left"/>
            </w:pPr>
            <w:r>
              <w:t>კარდიოლოგიური პროცედურების უსაფრთხოების სტანდარტი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>დოკუმენტის ID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CAR-SOP-002</w:t>
            </w:r>
          </w:p>
        </w:tc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სტატუსი</w:t>
            </w:r>
          </w:p>
        </w:tc>
        <w:tc>
          <w:tcPr/>
          <w:p>
            <w:pPr>
              <w:pStyle w:val="Compact"/>
              <w:jc w:val="left"/>
            </w:pPr>
            <w:r>
              <w:t>ცარიელი ფორმა, მოსარგებად</w:t>
            </w:r>
          </w:p>
        </w:tc>
        <w:tc>
          <w:tcPr/>
          <w:p>
            <w:pPr>
              <w:pStyle w:val="Compact"/>
              <w:jc w:val="left"/>
            </w:pPr>
            <w:r>
              <w:t>გამოშვების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გადახედვის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ანაცვლებს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დაამტკიცა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ხელმოწერა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 </w:t>
            </w:r>
          </w:p>
        </w:tc>
      </w:tr>
    </w:tbl>
    <w:p>
      <w:pPr>
        <w:pStyle w:val="BodyText"/>
      </w:pPr>
      <w:hyperlink r:id="rId20">
        <w:r>
          <w:rPr>
            <w:rStyle w:val="Hyperlink"/>
          </w:rPr>
          <w:t xml:space="preserve">სტანდარტები</w:t>
        </w:r>
      </w:hyperlink>
      <w:r>
        <w:t xml:space="preserve"> </w:t>
      </w:r>
      <w:r>
        <w:t>›</w:t>
      </w:r>
      <w:r>
        <w:t xml:space="preserve"> </w:t>
      </w:r>
      <w:hyperlink r:id="rId21">
        <w:r>
          <w:rPr>
            <w:rStyle w:val="Hyperlink"/>
          </w:rPr>
          <w:t xml:space="preserve">სტანდარტი 56</w:t>
        </w:r>
      </w:hyperlink>
      <w:r>
        <w:t xml:space="preserve"> </w:t>
      </w:r>
      <w:r>
        <w:t>›</w:t>
      </w:r>
      <w:r>
        <w:t xml:space="preserve"> </w:t>
      </w:r>
      <w:hyperlink r:id="rId22">
        <w:r>
          <w:rPr>
            <w:rStyle w:val="Hyperlink"/>
          </w:rPr>
          <w:t xml:space="preserve">სტანდარტული საოპერაციო პროცედურები (SOP)</w:t>
        </w:r>
      </w:hyperlink>
    </w:p>
    <w:p>
      <w:pPr>
        <w:pStyle w:val="BodyText"/>
      </w:pPr>
      <w:r>
        <w:t>სტანდარტული საოპერაციო პროცედურა (SOP) · CAR-SOP-002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>მხარს უჭერს:</w:t>
      </w:r>
      <w:r>
        <w:t xml:space="preserve"> </w:t>
      </w:r>
      <w:hyperlink r:id="rId23">
        <w:r>
          <w:rPr>
            <w:rStyle w:val="Hyperlink"/>
          </w:rPr>
          <w:t xml:space="preserve">56.2</w:t>
        </w:r>
      </w:hyperlink>
    </w:p>
    <w:p>
      <w:pPr>
        <w:pStyle w:val="BodyText"/>
      </w:pPr>
      <w:r>
        <w:t>მოკლედ</w:t>
      </w:r>
    </w:p>
    <w:p>
      <w:pPr>
        <w:numPr>
          <w:ilvl w:val="0"/>
          <w:numId w:val="1001"/>
        </w:numPr>
        <w:pStyle w:val="Compact"/>
      </w:pPr>
      <w:r>
        <w:t>ყოველი კარდიოლოგიური პროცედურა მიმდინარეობს წერილობითი პროტოკოლით წვდომის, სედაციის, კონტრასტისა და რადიაციის მიმართ (CTR-SOP-001, RAD-POL-001).</w:t>
      </w:r>
    </w:p>
    <w:p>
      <w:pPr>
        <w:numPr>
          <w:ilvl w:val="0"/>
          <w:numId w:val="1001"/>
        </w:numPr>
        <w:pStyle w:val="Compact"/>
      </w:pPr>
      <w:r>
        <w:t>ყოველი პროცედურისთვის ხელმისაწვდომია კარდიოლოგიური გადაუდებელი გუნდი და ამოქმედებულია გადაუდებელი გეგმა (FW-PLN-001).</w:t>
      </w:r>
    </w:p>
    <w:p>
      <w:pPr>
        <w:numPr>
          <w:ilvl w:val="0"/>
          <w:numId w:val="1001"/>
        </w:numPr>
        <w:pStyle w:val="Compact"/>
      </w:pPr>
      <w:r>
        <w:t>ყოველი პროცედურა ფიქსირდება მისი მთავარი ეტაპებითა და შედეგით (CAR-REG-001).</w:t>
      </w:r>
    </w:p>
    <w:p>
      <w:pPr>
        <w:numPr>
          <w:ilvl w:val="0"/>
          <w:numId w:val="1001"/>
        </w:numPr>
        <w:pStyle w:val="Compact"/>
      </w:pPr>
      <w:r>
        <w:t>ყოველი არასასურველი მოვლენა აღირიცხება და განიხილება (PRO-FRM-006).</w:t>
      </w:r>
    </w:p>
    <w:p>
      <w:pPr>
        <w:numPr>
          <w:ilvl w:val="0"/>
          <w:numId w:val="1001"/>
        </w:numPr>
        <w:pStyle w:val="Compact"/>
      </w:pPr>
      <w:r>
        <w:t>დაუყოვნებლივ შეაჩერეთ საქმიანობა და გამოიძახეთ დახმარება, თუ: კარდიოლოგიური პროცედურა იწყება გადაუდებელი გუნდისა და აღჭურვილობის მზადყოფნის გარეშე, ან ჩაწერილი წინასწარი შემოწმების გარეშე.</w:t>
      </w:r>
    </w:p>
    <w:bookmarkStart w:id="24" w:name="purpose"/>
    <w:p>
      <w:pPr>
        <w:pStyle w:val="Heading2"/>
      </w:pPr>
      <w:r>
        <w:t>1. მიზანი</w:t>
      </w:r>
    </w:p>
    <w:p>
      <w:pPr>
        <w:pStyle w:val="FirstParagraph"/>
      </w:pPr>
      <w:r>
        <w:t>იმისათვის, რომ კარდიოლოგიური პროცედურები ტარდებოდეს განსაზღვრული უსაფრთხოების სტანდარტით, გადაუდებელი გუნდის მზადყოფნით (56.2).</w:t>
      </w:r>
    </w:p>
    <w:bookmarkEnd w:id="24"/>
    <w:bookmarkStart w:id="25" w:name="scope"/>
    <w:p>
      <w:pPr>
        <w:pStyle w:val="Heading2"/>
      </w:pPr>
      <w:r>
        <w:t>2. სფერო</w:t>
      </w:r>
    </w:p>
    <w:tbl>
      <w:tblPr>
        <w:tblStyle w:val="Table"/>
        <w:tblW w:type="auto" w:w="0"/>
        <w:tblLook w:firstRow="0" w:lastRow="0" w:firstColumn="0" w:lastColumn="0" w:noHBand="0" w:noVBand="0" w:val="0000"/>
        <w:jc w:val="start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>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>საავადმყოფოს კლინიკური და დამხმარე პერსონალი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ადგილმდებარეობა</w:t>
            </w:r>
          </w:p>
        </w:tc>
        <w:tc>
          <w:tcPr/>
          <w:p>
            <w:pPr>
              <w:pStyle w:val="Compact"/>
              <w:jc w:val="left"/>
            </w:pPr>
            <w:r>
              <w:t>დაწესებულების ყველა პალატა, კლინიკა და განყოფილება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როდის</w:t>
            </w:r>
          </w:p>
        </w:tc>
        <w:tc>
          <w:tcPr/>
          <w:p>
            <w:pPr>
              <w:pStyle w:val="Compact"/>
              <w:jc w:val="left"/>
            </w:pPr>
            <w:r>
              <w:t>ყოველთვის, როცა სრულდება აღწერილი საქმიანობა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არ 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>საქმიანობა, რომელსაც მოიცავს სხვა დოკუმენტი, ჩამოთვლილი მე-15 განყოფილებაში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5"/>
    <w:bookmarkStart w:id="26" w:name="definitions"/>
    <w:p>
      <w:pPr>
        <w:pStyle w:val="Heading2"/>
      </w:pPr>
      <w:r>
        <w:t>3. განმარტებები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ტერმინი</w:t>
            </w:r>
          </w:p>
        </w:tc>
        <w:tc>
          <w:tcPr/>
          <w:p>
            <w:pPr>
              <w:pStyle w:val="Compact"/>
              <w:jc w:val="left"/>
            </w:pPr>
            <w:r>
              <w:t>მნიშვნელობა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კლინიკური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>ექიმი ან ექთანი, რომელიც ამ დროს უძღვება უბანს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6"/>
    <w:bookmarkStart w:id="27" w:name="background"/>
    <w:p>
      <w:pPr>
        <w:pStyle w:val="Heading2"/>
      </w:pPr>
      <w:r>
        <w:t>4. საფუძვლები</w:t>
      </w:r>
    </w:p>
    <w:p>
      <w:pPr>
        <w:pStyle w:val="FirstParagraph"/>
      </w:pPr>
      <w:r>
        <w:t>იმისათვის, რომ კარდიოლოგიური პროცედურები ტარდებოდეს განსაზღვრული უსაფრთხოების სტანდარტით, გადაუდებელი გუნდის მზადყოფნით (56.2).</w:t>
      </w:r>
    </w:p>
    <w:bookmarkEnd w:id="27"/>
    <w:bookmarkStart w:id="28" w:name="responsibilities"/>
    <w:p>
      <w:pPr>
        <w:pStyle w:val="Heading2"/>
      </w:pPr>
      <w:r>
        <w:t>5. პასუხისმგებლობები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როლი</w:t>
            </w:r>
          </w:p>
        </w:tc>
        <w:tc>
          <w:tcPr/>
          <w:p>
            <w:pPr>
              <w:pStyle w:val="Compact"/>
              <w:jc w:val="left"/>
            </w:pPr>
            <w:r>
              <w:t>პასუხისმგებლობა</w:t>
            </w:r>
          </w:p>
        </w:tc>
        <w:tc>
          <w:tcPr/>
          <w:p>
            <w:pPr>
              <w:pStyle w:val="Compact"/>
              <w:jc w:val="left"/>
            </w:pPr>
            <w:r>
              <w:t>კომპეტენცია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ინტერვენციული კარდიოლოგი</w:t>
            </w:r>
          </w:p>
        </w:tc>
        <w:tc>
          <w:tcPr/>
          <w:p>
            <w:pPr>
              <w:pStyle w:val="Compact"/>
              <w:jc w:val="left"/>
            </w:pPr>
            <w:r>
              <w:t>ხელმძღვანელობს ყოველ პროცედურას პროტოკოლის შესაბამისად</w:t>
            </w:r>
          </w:p>
        </w:tc>
        <w:tc>
          <w:tcPr/>
          <w:p>
            <w:pPr>
              <w:pStyle w:val="Compact"/>
              <w:jc w:val="left"/>
            </w:pPr>
            <w:r>
              <w:t>კლინიკური ხელმძღვანელი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კათეტერიზაციის ლაბორატორიის მედდა</w:t>
            </w:r>
          </w:p>
        </w:tc>
        <w:tc>
          <w:tcPr/>
          <w:p>
            <w:pPr>
              <w:pStyle w:val="Compact"/>
              <w:jc w:val="left"/>
            </w:pPr>
            <w:r>
              <w:t>ამოწმებს გუნდსა და აღჭურვილობას და ფიქსირებს პროცედურას</w:t>
            </w:r>
          </w:p>
        </w:tc>
        <w:tc>
          <w:tcPr/>
          <w:p>
            <w:pPr>
              <w:pStyle w:val="Compact"/>
              <w:jc w:val="left"/>
            </w:pPr>
            <w:r>
              <w:t>ინტერვენციული კარდიოლოგი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8"/>
    <w:bookmarkStart w:id="29" w:name="materials-and-equipment"/>
    <w:p>
      <w:pPr>
        <w:pStyle w:val="Heading2"/>
      </w:pPr>
      <w:r>
        <w:t>6. მასალები და აღჭურვილობა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ნივთი</w:t>
            </w:r>
          </w:p>
        </w:tc>
        <w:tc>
          <w:tcPr/>
          <w:p>
            <w:pPr>
              <w:pStyle w:val="Compact"/>
              <w:jc w:val="left"/>
            </w:pPr>
            <w:r>
              <w:t>მოთხოვნა</w:t>
            </w:r>
          </w:p>
        </w:tc>
        <w:tc>
          <w:tcPr/>
          <w:p>
            <w:pPr>
              <w:pStyle w:val="Compact"/>
              <w:jc w:val="left"/>
            </w:pPr>
            <w:r>
              <w:t>მდგომარეობა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ამ დოკუმენტში მითითებული ჩანაწერები და ფორმები</w:t>
            </w:r>
          </w:p>
        </w:tc>
        <w:tc>
          <w:tcPr/>
          <w:p>
            <w:pPr>
              <w:pStyle w:val="Compact"/>
              <w:jc w:val="left"/>
            </w:pPr>
            <w:r>
              <w:t>მიმდინარე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შემოწმებულია გამოყენებამდე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9"/>
    <w:bookmarkStart w:id="30" w:name="safety"/>
    <w:p>
      <w:pPr>
        <w:pStyle w:val="Heading2"/>
      </w:pPr>
      <w:r>
        <w:t>7. უსაფრთხოება</w:t>
      </w:r>
    </w:p>
    <w:p>
      <w:pPr>
        <w:numPr>
          <w:ilvl w:val="0"/>
          <w:numId w:val="1002"/>
        </w:numPr>
        <w:pStyle w:val="Compact"/>
      </w:pPr>
      <w:r>
        <w:t>თუ პაციენტი პირდაპირ საფრთხის ქვეშაა, შეაჩერეთ საქმიანობა და გამოიძახეთ დახმარება. გადაუდებელი მოვლა არ გადადოთ დოკუმენტაციის შევსების გამო.</w:t>
      </w:r>
    </w:p>
    <w:bookmarkEnd w:id="30"/>
    <w:bookmarkStart w:id="31" w:name="before-you-start"/>
    <w:p>
      <w:pPr>
        <w:pStyle w:val="Heading2"/>
      </w:pPr>
      <w:r>
        <w:t>8. დაწყებამდე</w:t>
      </w:r>
    </w:p>
    <w:p>
      <w:pPr>
        <w:numPr>
          <w:ilvl w:val="0"/>
          <w:numId w:val="1003"/>
        </w:numPr>
        <w:pStyle w:val="Compact"/>
      </w:pPr>
      <w:r>
        <w:t>დარწმუნდით, რომ ამ დოკუმენტში მითითებული ფორმები და აღჭურვილობა ხელმისაწვდომია და მიმდინარეა.</w:t>
      </w:r>
    </w:p>
    <w:bookmarkEnd w:id="31"/>
    <w:bookmarkStart w:id="32" w:name="procedure"/>
    <w:p>
      <w:pPr>
        <w:pStyle w:val="Heading2"/>
      </w:pPr>
      <w:r>
        <w:t>9. პროცედურა</w:t>
      </w:r>
    </w:p>
    <w:p>
      <w:pPr>
        <w:pStyle w:val="FirstParagraph"/>
      </w:pPr>
      <w:r>
        <w:t>ნაბიჯი 1. მომზადება.</w:t>
      </w:r>
    </w:p>
    <w:p>
      <w:pPr>
        <w:numPr>
          <w:ilvl w:val="0"/>
          <w:numId w:val="1004"/>
        </w:numPr>
        <w:pStyle w:val="Compact"/>
      </w:pPr>
      <w:r>
        <w:t>პროცედურამდე შეამოწმეთ გუნდი, გადაუდებელი აღჭურვილობა და კონტრასტისა და რადიაციის გეგმა.</w:t>
      </w:r>
    </w:p>
    <w:p>
      <w:pPr>
        <w:pStyle w:val="FirstParagraph"/>
      </w:pPr>
      <w:r>
        <w:rPr>
          <w:bCs/>
          <w:b/>
        </w:rPr>
        <w:t>მთავარი: მომზადებულია.</w:t>
      </w:r>
      <w:r/>
      <w:r/>
    </w:p>
    <w:p>
      <w:pPr>
        <w:pStyle w:val="BodyText"/>
      </w:pPr>
      <w:r>
        <w:t>ნაბიჯი 2. პროცედურა.</w:t>
      </w:r>
    </w:p>
    <w:p>
      <w:pPr>
        <w:numPr>
          <w:ilvl w:val="0"/>
          <w:numId w:val="1005"/>
        </w:numPr>
        <w:pStyle w:val="Compact"/>
      </w:pPr>
      <w:r>
        <w:t>ჩაატარეთ პროცედურა პროტოკოლის შესაბამისად და დააფიქსირეთ მთავარი ეტაპები (CAR-REG-001).</w:t>
      </w:r>
    </w:p>
    <w:p>
      <w:pPr>
        <w:pStyle w:val="FirstParagraph"/>
      </w:pPr>
      <w:r>
        <w:rPr>
          <w:bCs/>
          <w:b/>
        </w:rPr>
        <w:t>მთავარი: შესრულებულია.</w:t>
      </w:r>
      <w:r/>
      <w:r/>
    </w:p>
    <w:p>
      <w:pPr>
        <w:pStyle w:val="BodyText"/>
      </w:pPr>
      <w:r>
        <w:t>ნაბიჯი 3. განხილვა.</w:t>
      </w:r>
    </w:p>
    <w:p>
      <w:pPr>
        <w:numPr>
          <w:ilvl w:val="0"/>
          <w:numId w:val="1006"/>
        </w:numPr>
        <w:pStyle w:val="Compact"/>
      </w:pPr>
      <w:r>
        <w:t>დააფიქსირეთ ნებისმიერი არასასურველი მოვლენა (PRO-FRM-006) და განიხილეთ იგი.</w:t>
      </w:r>
    </w:p>
    <w:p>
      <w:pPr>
        <w:pStyle w:val="FirstParagraph"/>
      </w:pPr>
      <w:r>
        <w:rPr>
          <w:bCs/>
          <w:b/>
        </w:rPr>
        <w:t>მთავარი: განხილულია.</w:t>
      </w:r>
      <w:r/>
      <w:r/>
    </w:p>
    <w:bookmarkEnd w:id="32"/>
    <w:bookmarkStart w:id="33" w:name="decision-points"/>
    <w:p>
      <w:pPr>
        <w:pStyle w:val="Heading2"/>
      </w:pPr>
      <w:r>
        <w:t>10. გადაწყვეტილების წერტილები</w:t>
      </w:r>
    </w:p>
    <w:p>
      <w:pPr>
        <w:numPr>
          <w:ilvl w:val="0"/>
          <w:numId w:val="1007"/>
        </w:numPr>
        <w:pStyle w:val="Compact"/>
      </w:pPr>
      <w:r>
        <w:t>ამ პროცედურაში გადაწყვეტილების წერტილები არ არის.</w:t>
      </w:r>
    </w:p>
    <w:bookmarkEnd w:id="33"/>
    <w:bookmarkStart w:id="34" w:name="special-situations"/>
    <w:p>
      <w:pPr>
        <w:pStyle w:val="Heading2"/>
      </w:pPr>
      <w:r>
        <w:t>11. განსაკუთრებული სიტუაციები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სიტუაცია</w:t>
            </w:r>
          </w:p>
        </w:tc>
        <w:tc>
          <w:tcPr/>
          <w:p>
            <w:pPr>
              <w:pStyle w:val="Compact"/>
              <w:jc w:val="left"/>
            </w:pPr>
            <w:r>
              <w:t>მოქმედება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არასამუშაო საათები</w:t>
            </w:r>
          </w:p>
        </w:tc>
        <w:tc>
          <w:tcPr/>
          <w:p>
            <w:pPr>
              <w:pStyle w:val="Compact"/>
              <w:jc w:val="left"/>
            </w:pPr>
            <w:r>
              <w:t>მიჰყევით იგივე ნაბიჯებს. გამოიყენეთ უბნის კედელზე მითითებული მორიგე საკონტაქტო ინფორმაცია.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34"/>
    <w:bookmarkStart w:id="35" w:name="escalation"/>
    <w:p>
      <w:pPr>
        <w:pStyle w:val="Heading2"/>
      </w:pPr>
      <w:r>
        <w:t>12. ესკალაცია</w:t>
      </w:r>
    </w:p>
    <w:p>
      <w:pPr>
        <w:numPr>
          <w:ilvl w:val="0"/>
          <w:numId w:val="1008"/>
        </w:numPr>
        <w:pStyle w:val="Compact"/>
      </w:pPr>
      <w:r>
        <w:t>ყოველი სერიოზული პრობლემა დაუყოვნებლივ გადაეცემა მორიგე კლინიკურ ხელმძღვანელს, ხოლო იმავე დღეს — კლინიკურ დირექტორს.</w:t>
      </w:r>
    </w:p>
    <w:bookmarkEnd w:id="35"/>
    <w:bookmarkStart w:id="36" w:name="monitoring"/>
    <w:p>
      <w:pPr>
        <w:pStyle w:val="Heading2"/>
      </w:pPr>
      <w:r>
        <w:t>13. მონიტორინგი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584"/>
        <w:gridCol w:w="1584"/>
        <w:gridCol w:w="1584"/>
        <w:gridCol w:w="1584"/>
        <w:gridCol w:w="1584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მაჩვენებელი</w:t>
            </w:r>
          </w:p>
        </w:tc>
        <w:tc>
          <w:tcPr/>
          <w:p>
            <w:pPr>
              <w:pStyle w:val="Compact"/>
              <w:jc w:val="left"/>
            </w:pPr>
            <w:r>
              <w:t>მიზნობრივი მაჩვენებელი</w:t>
            </w:r>
          </w:p>
        </w:tc>
        <w:tc>
          <w:tcPr/>
          <w:p>
            <w:pPr>
              <w:pStyle w:val="Compact"/>
              <w:jc w:val="left"/>
            </w:pPr>
            <w:r>
              <w:t>სიხშირე</w:t>
            </w:r>
          </w:p>
        </w:tc>
        <w:tc>
          <w:tcPr/>
          <w:p>
            <w:pPr>
              <w:pStyle w:val="Compact"/>
              <w:jc w:val="left"/>
            </w:pPr>
            <w:r>
              <w:t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>თუ არ შესრულდა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პროცედურები ჩაწერილი წინასწარი შემოწმებით</w:t>
            </w:r>
          </w:p>
        </w:tc>
        <w:tc>
          <w:tcPr/>
          <w:p>
            <w:pPr>
              <w:pStyle w:val="Compact"/>
              <w:jc w:val="left"/>
            </w:pPr>
            <w:r>
              <w:t>100%</w:t>
            </w:r>
          </w:p>
        </w:tc>
        <w:tc>
          <w:tcPr/>
          <w:p>
            <w:pPr>
              <w:pStyle w:val="Compact"/>
              <w:jc w:val="left"/>
            </w:pPr>
            <w:r>
              <w:t>ყოველთვიურად</w:t>
            </w:r>
          </w:p>
        </w:tc>
        <w:tc>
          <w:tcPr/>
          <w:p>
            <w:pPr>
              <w:pStyle w:val="Compact"/>
              <w:jc w:val="left"/>
            </w:pPr>
            <w:r>
              <w:t>კლინიკური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>შეაჩერეთ პროცედურა შემოწმებამდე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არასასურველი მოვლენები დაფიქსირებული და განხილული</w:t>
            </w:r>
          </w:p>
        </w:tc>
        <w:tc>
          <w:tcPr/>
          <w:p>
            <w:pPr>
              <w:pStyle w:val="Compact"/>
              <w:jc w:val="left"/>
            </w:pPr>
            <w:r>
              <w:t>100%</w:t>
            </w:r>
          </w:p>
        </w:tc>
        <w:tc>
          <w:tcPr/>
          <w:p>
            <w:pPr>
              <w:pStyle w:val="Compact"/>
              <w:jc w:val="left"/>
            </w:pPr>
            <w:r>
              <w:t>ყოველთვიურად</w:t>
            </w:r>
          </w:p>
        </w:tc>
        <w:tc>
          <w:tcPr/>
          <w:p>
            <w:pPr>
              <w:pStyle w:val="Compact"/>
              <w:jc w:val="left"/>
            </w:pPr>
            <w:r>
              <w:t>კლინიკური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>განიხილეთ დაუყოვნებლივ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36"/>
    <w:bookmarkStart w:id="37" w:name="records"/>
    <w:p>
      <w:pPr>
        <w:pStyle w:val="Heading2"/>
      </w:pPr>
      <w:r>
        <w:t>14. ჩანაწერები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>ინახება</w:t>
            </w:r>
          </w:p>
        </w:tc>
        <w:tc>
          <w:tcPr/>
          <w:p>
            <w:pPr>
              <w:pStyle w:val="Compact"/>
              <w:jc w:val="left"/>
            </w:pPr>
            <w:r>
              <w:t>შენახვის ვადა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ამ დოკუმენტში მითითებული 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>პაციენტის ისტორია ან უბნის საქმე</w:t>
            </w:r>
          </w:p>
        </w:tc>
        <w:tc>
          <w:tcPr/>
          <w:p>
            <w:pPr>
              <w:pStyle w:val="Compact"/>
              <w:jc w:val="left"/>
            </w:pPr>
            <w:r>
              <w:t>დაწესებულების ჩანაწერების პოლიტიკით დადგენილი პერიოდი, წლები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37"/>
    <w:bookmarkStart w:id="38" w:name="training"/>
    <w:p>
      <w:pPr>
        <w:pStyle w:val="Heading2"/>
      </w:pPr>
      <w:r>
        <w:t>15. სწავლება</w:t>
      </w:r>
    </w:p>
    <w:p>
      <w:pPr>
        <w:numPr>
          <w:ilvl w:val="0"/>
          <w:numId w:val="1009"/>
        </w:numPr>
        <w:pStyle w:val="Compact"/>
      </w:pPr>
      <w:r>
        <w:t>პერსონალი ამ დოკუმენტში ივარჯიშებს ჩართვისას და ყოველ წელს განახლდება, დაფიქსირებული კომპეტენციის შემოწმებით.</w:t>
      </w:r>
    </w:p>
    <w:bookmarkEnd w:id="38"/>
    <w:bookmarkStart w:id="41" w:name="related-documents"/>
    <w:p>
      <w:pPr>
        <w:pStyle w:val="Heading2"/>
      </w:pPr>
      <w:r>
        <w:t>16. დაკავშირებული დოკუმენტები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ID</w:t>
            </w:r>
          </w:p>
        </w:tc>
        <w:tc>
          <w:tcPr/>
          <w:p>
            <w:pPr>
              <w:pStyle w:val="Compact"/>
              <w:jc w:val="left"/>
            </w:pPr>
            <w:r>
              <w:t>სათაური</w:t>
            </w:r>
          </w:p>
        </w:tc>
        <w:tc>
          <w:tcPr/>
          <w:p>
            <w:pPr>
              <w:pStyle w:val="Compact"/>
              <w:jc w:val="left"/>
            </w:pPr>
            <w:r>
              <w:t>გამოყენება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39">
              <w:r>
                <w:rPr>
                  <w:rStyle w:val="Hyperlink"/>
                </w:rPr>
                <w:t xml:space="preserve">CAR-REG-001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>კარდიოლოგიური პროცედურების ჟურნალი</w:t>
            </w:r>
          </w:p>
        </w:tc>
        <w:tc>
          <w:tcPr/>
          <w:p>
            <w:pPr>
              <w:pStyle w:val="Compact"/>
              <w:jc w:val="left"/>
            </w:pPr>
            <w:r>
              <w:t>რეგისტრი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40">
              <w:r>
                <w:rPr>
                  <w:rStyle w:val="Hyperlink"/>
                </w:rPr>
                <w:t xml:space="preserve">CTR-SOP-001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>კონტრასტული საშუალებების უსაფრთხოების პროტოკოლი (არსებული, ხელახლა გამოყენებული)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SOP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41"/>
    <w:bookmarkStart w:id="42" w:name="evidence"/>
    <w:p>
      <w:pPr>
        <w:pStyle w:val="Heading2"/>
      </w:pPr>
      <w:r>
        <w:t>17. 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E-006</w:t>
            </w:r>
          </w:p>
        </w:tc>
        <w:tc>
          <w:tcPr/>
          <w:p>
            <w:pPr>
              <w:pStyle w:val="Compact"/>
              <w:jc w:val="left"/>
            </w:pPr>
            <w:r>
              <w:t>ASF Policy Framework v1.2. Adapted.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>ASF ექსპერტთა კომიტეტის კონსენსუსი.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42"/>
    <w:bookmarkStart w:id="43" w:name="change-history"/>
    <w:p>
      <w:pPr>
        <w:pStyle w:val="Heading2"/>
      </w:pPr>
      <w:r>
        <w:t>18. 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პირველი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დამტკიცებულია ექსპერტთა კომიტეტის მიერ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43"/>
    <w:bookmarkStart w:id="45" w:name="references"/>
    <w:p>
      <w:pPr>
        <w:pStyle w:val="Heading2"/>
      </w:pPr>
      <w:r>
        <w:t>წყაროები</w:t>
      </w:r>
    </w:p>
    <w:p>
      <w:pPr>
        <w:numPr>
          <w:ilvl w:val="0"/>
          <w:numId w:val="1010"/>
        </w:numPr>
        <w:pStyle w:val="Compact"/>
      </w:pPr>
      <w:r>
        <w:t>Accréditation Sans Frontières (2026). ASF Policy Framework v1.2. (E-006)</w:t>
      </w:r>
      <w:r/>
      <w:r/>
    </w:p>
    <w:p>
      <w:pPr>
        <w:numPr>
          <w:ilvl w:val="0"/>
          <w:numId w:val="1010"/>
        </w:numPr>
        <w:pStyle w:val="Compact"/>
      </w:pPr>
      <w:r>
        <w:t>Accréditation Sans Frontières (2026). ASF Expert Committee consensus on Standard 1. (E-009)</w:t>
      </w:r>
      <w:r/>
      <w:r/>
    </w:p>
    <w:p>
      <w:pPr>
        <w:pStyle w:val="FirstParagraph"/>
      </w:pPr>
      <w:hyperlink r:id="rId44">
        <w:r>
          <w:rPr>
            <w:rStyle w:val="Hyperlink"/>
          </w:rPr>
          <w:t xml:space="preserve">ჩამოტვირთეთ ეს დოკუმენტი PDF ფორმატში</w:t>
        </w:r>
      </w:hyperlink>
    </w:p>
    <w:bookmarkEnd w:id="45"/>
    <w:sectPr>
      <w:headerReference w:type="default" r:id="rId9"/>
      <w:footerReference w:type="default" r:id="rId10"/>
      <w:pgSz w:w="11906" w:h="16838"/>
      <w:pgMar w:left="794" w:right="794" w:top="794" w:bottom="907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39" Type="http://schemas.openxmlformats.org/officeDocument/2006/relationships/hyperlink" Target="https://france-asf.fr/ka/documents/car-reg-001/" TargetMode="External"/><Relationship Id="rId40" Type="http://schemas.openxmlformats.org/officeDocument/2006/relationships/hyperlink" Target="https://france-asf.fr/ka/documents/ctr-sop-001/" TargetMode="External"/><Relationship Id="rId22" Type="http://schemas.openxmlformats.org/officeDocument/2006/relationships/hyperlink" Target="https://france-asf.fr/ka/resources/sops/" TargetMode="External"/><Relationship Id="rId20" Type="http://schemas.openxmlformats.org/officeDocument/2006/relationships/hyperlink" Target="https://france-asf.fr/ka/standards/" TargetMode="External"/><Relationship Id="rId21" Type="http://schemas.openxmlformats.org/officeDocument/2006/relationships/hyperlink" Target="https://france-asf.fr/ka/standards/standard-56/" TargetMode="External"/><Relationship Id="rId23" Type="http://schemas.openxmlformats.org/officeDocument/2006/relationships/hyperlink" Target="https://france-asf.fr/ka/standards/standard-56/#c56-2" TargetMode="External"/><Relationship Id="rId44" Type="http://schemas.openxmlformats.org/officeDocument/2006/relationships/hyperlink" Target="https://france-asf.fr/wp-content/uploads/2026/11/car-sop-002-ka-2.pdf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notes.xml.rels><?xml version='1.0' encoding='UTF-8' standalone='yes'?>
<Relationships xmlns="http://schemas.openxmlformats.org/package/2006/relationships"><Relationship Id="rId39" Type="http://schemas.openxmlformats.org/officeDocument/2006/relationships/hyperlink" Target="/documents/car-reg-001/" TargetMode="External"/><Relationship Id="rId40" Type="http://schemas.openxmlformats.org/officeDocument/2006/relationships/hyperlink" Target="/documents/ctr-sop-001/" TargetMode="External"/><Relationship Id="rId22" Type="http://schemas.openxmlformats.org/officeDocument/2006/relationships/hyperlink" Target="/resources/sops/" TargetMode="External"/><Relationship Id="rId20" Type="http://schemas.openxmlformats.org/officeDocument/2006/relationships/hyperlink" Target="/standards/" TargetMode="External"/><Relationship Id="rId21" Type="http://schemas.openxmlformats.org/officeDocument/2006/relationships/hyperlink" Target="/standards/standard-56/" TargetMode="External"/><Relationship Id="rId23" Type="http://schemas.openxmlformats.org/officeDocument/2006/relationships/hyperlink" Target="/standards/standard-56/#c56-2" TargetMode="External"/><Relationship Id="rId44" Type="http://schemas.openxmlformats.org/officeDocument/2006/relationships/hyperlink" Target="https://france-asf.fr/wp-content/uploads/2026/10/car-sop-00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CAR-SOP-002: Cardiac procedure safety standard</dc:title>
  <dc:creator/>
  <cp:keywords/>
  <dcterms:created xsi:type="dcterms:W3CDTF">2026-10-28T21:32:53Z</dcterms:created>
  <dcterms:modified xsi:type="dcterms:W3CDTF">2026-10-28T21:32:53Z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