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ვენური თრომბოემბოლიის რისკის შეფასება და პროფილაქტიკა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CLN-SOP-005-EN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გამოსაცემად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ამ პროცედურის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კლასიფიკაცია</w:t>
            </w:r>
          </w:p>
        </w:tc>
        <w:tc>
          <w:tcPr/>
          <w:p>
            <w:pPr>
              <w:pStyle w:val="Compact"/>
              <w:jc w:val="left"/>
            </w:pPr>
            <w:r>
              <w:t>შიდა</w:t>
            </w:r>
          </w:p>
        </w:tc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ყველა კლინიკური მიმართულება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>დამტკიცების შემდეგ ეს კონტროლირებადი ასლია. ამობეჭდილი ასლები არაკონტროლირებადია; გამოყენებამდე შეამოწმეთ ვერსია დოკუმენტების რეესტრთან.</w:t>
      </w:r>
    </w:p>
    <w:bookmarkStart w:id="20" w:name="toc"/>
    <w:p>
      <w:pPr>
        <w:pStyle w:val="Heading2"/>
      </w:pPr>
      <w:r>
        <w:t>შინაარსი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1. 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2. სფერო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3. განმარტებები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4. საფუძვლები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5. პასუხისმგებლობები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6. მასალები და აღჭურვილობა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7. უსაფრთხოება და გამონაკლისები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8. პროცედურა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9. სამუშაო მაგალითები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10. გადაწყვეტილების წერტილები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11. ესკალაცია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12. მონიტორინგი და შესაბამისობა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13. ჩანაწერები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14. ტრენინგი და კომპეტენცია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15. დაკავშირებული დოკუმენტები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16. წყაროები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17. ცვლილებების ისტორია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შემოკლებები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დანართი A. VTE აუდიტის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</w:tbl>
    <w:bookmarkEnd w:id="20"/>
    <w:bookmarkStart w:id="21" w:name="abbr"/>
    <w:p>
      <w:pPr>
        <w:pStyle w:val="Heading2"/>
      </w:pPr>
      <w:r>
        <w:t>შემოკლებები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შემოკლება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NG89</w:t>
            </w:r>
          </w:p>
        </w:tc>
        <w:tc>
          <w:tcPr/>
          <w:p>
            <w:pPr>
              <w:pStyle w:val="Compact"/>
              <w:jc w:val="left"/>
            </w:pPr>
            <w:r>
              <w:t>NICE-ის სახელმძღვანელო 89, ვენური თრომბოემბოლია 16 წელზე უფროსებში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NICE</w:t>
            </w:r>
          </w:p>
        </w:tc>
        <w:tc>
          <w:tcPr/>
          <w:p>
            <w:pPr>
              <w:pStyle w:val="Compact"/>
              <w:jc w:val="left"/>
            </w:pPr>
            <w:r>
              <w:t>National Institute for Health and Care Excellence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SOP</w:t>
            </w:r>
          </w:p>
        </w:tc>
        <w:tc>
          <w:tcPr/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VTE</w:t>
            </w:r>
          </w:p>
        </w:tc>
        <w:tc>
          <w:tcPr/>
          <w:p>
            <w:pPr>
              <w:pStyle w:val="Compact"/>
              <w:jc w:val="left"/>
            </w:pPr>
            <w:r>
              <w:t>ვენური თრომბოემბოლია</w:t>
            </w:r>
          </w:p>
        </w:tc>
      </w:tr>
    </w:tbl>
    <w:p>
      <w:pPr>
        <w:pStyle w:val="BodyText"/>
      </w:pPr>
      <w:r>
        <w:rPr>
          <w:bCs/>
          <w:b/>
        </w:rPr>
        <w:t>მთავარი პუნქტები</w:t>
      </w:r>
    </w:p>
    <w:p>
      <w:pPr>
        <w:numPr>
          <w:ilvl w:val="0"/>
          <w:numId w:val="1001"/>
        </w:numPr>
        <w:pStyle w:val="Compact"/>
      </w:pPr>
      <w:r>
        <w:t>ყველა პაციენტი მიღებისას შეაფასეთ ვენური თრომბოემბოლიის (VTE) და სისხლდენის რისკზე [1].</w:t>
      </w:r>
    </w:p>
    <w:p>
      <w:pPr>
        <w:numPr>
          <w:ilvl w:val="0"/>
          <w:numId w:val="1001"/>
        </w:numPr>
        <w:pStyle w:val="Compact"/>
      </w:pPr>
      <w:r>
        <w:t>სამედიცინო პაციენტები ფასდებიან რაც შეიძლება მალე მიღების შემდეგ ან პირველი კონსულტანტის შეფასებისას. ქირურგიული და ტრავმის პაციენტები ფასდებიან იმავე ვადებში [1].</w:t>
      </w:r>
    </w:p>
    <w:p>
      <w:pPr>
        <w:numPr>
          <w:ilvl w:val="0"/>
          <w:numId w:val="1001"/>
        </w:numPr>
        <w:pStyle w:val="Compact"/>
      </w:pPr>
      <w:r>
        <w:t>ხელახლა შეაფასეთ კონსულტანტის შეფასებისას და ყოველ ჯერზე, როცა იცვლება კლინიკური მდგომარეობა [1].</w:t>
      </w:r>
    </w:p>
    <w:p>
      <w:pPr>
        <w:numPr>
          <w:ilvl w:val="0"/>
          <w:numId w:val="1001"/>
        </w:numPr>
        <w:pStyle w:val="Compact"/>
      </w:pPr>
      <w:r>
        <w:t>ორსული ან ახლახან მშობიარე ქალები, სპონტანური აბორტის ან ორსულობის შეწყვეტის შემდეგ მყოფი ქალები ფასდებიან მიღებისას და ხელახლა — მშობიარობის, სპონტანური აბორტის ან ორსულობის შეწყვეტიდან 6 საათში [1].</w:t>
      </w:r>
    </w:p>
    <w:p>
      <w:pPr>
        <w:numPr>
          <w:ilvl w:val="0"/>
          <w:numId w:val="1001"/>
        </w:numPr>
        <w:pStyle w:val="Compact"/>
      </w:pPr>
      <w:r>
        <w:t>ყოველი გადაწყვეტილება ფიქსირდება. შეწყვიტეთ საქმიანობა და მიიღეთ დახმარება დაუყოვნებლივ, თუ რისკის მქონე პაციენტს არ აქვს პროფილაქტიკა და ჩაწერილი მიზეზი არ არის.</w:t>
      </w:r>
    </w:p>
    <w:bookmarkEnd w:id="21"/>
    <w:bookmarkStart w:id="22" w:name="s1"/>
    <w:p>
      <w:pPr>
        <w:pStyle w:val="Heading2"/>
      </w:pPr>
      <w:r>
        <w:t>მიზანი</w:t>
      </w:r>
    </w:p>
    <w:p>
      <w:pPr>
        <w:pStyle w:val="FirstParagraph"/>
      </w:pPr>
      <w:r>
        <w:t>მიზანია ფეხებსა და ფილტვებში სისხლის შედედების თავიდან აცილება, რაც შეიძლება გახდეს სიკვდილის მიზეზი ისეთ პაციენტში, რომელიც კარგად გამოიყურება, და იმის უზრუნველყოფა, რომ ყველა პაციენტს ჰქონდეს დოკუმენტირებული VTE-ისა და სისხლდენის რისკის შეფასება, რომელიც სწორ დროს გადაიხედება. ეს SOP ხელს უწყობს კრიტერიუმ 1.7-ს.</w:t>
      </w:r>
    </w:p>
    <w:bookmarkEnd w:id="22"/>
    <w:bookmarkStart w:id="23" w:name="s2"/>
    <w:p>
      <w:pPr>
        <w:pStyle w:val="Heading2"/>
      </w:pPr>
      <w:r>
        <w:t>მოქმედების სფერო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ელემენტი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დაფარვა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ვინ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და დამხმარე პერსონალი, რომელიც იღებს, აფასებს, ნიშნავს ან უწევს მოვლას პაციენტებს.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სად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განყოფილება და კლინიკა, მათ შორის გადაუდებელი მიღება და სამეანო მოვლა.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მიღებისას; კონსულტანტის შეფასებისას; ოპერაციამდე; მდგომარეობის შეცვლისას; მშობიარობის, სპონტანური აბორტის ან ორსულობის შეწყვეტის შემდეგ.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მოიცავს</w:t>
            </w:r>
          </w:p>
        </w:tc>
        <w:tc>
          <w:tcPr/>
          <w:p>
            <w:pPr>
              <w:pStyle w:val="Compact"/>
              <w:jc w:val="left"/>
            </w:pPr>
            <w:r>
              <w:t>დიაგნოზირებული მდგომარეობის ანტიკოაგულანტური მკურნალობა, რომელიც მიჰყვება ამ დიაგნოზის მკურნალობის პროტოკოლს.</w:t>
            </w:r>
          </w:p>
        </w:tc>
      </w:tr>
    </w:tbl>
    <w:bookmarkEnd w:id="23"/>
    <w:bookmarkStart w:id="24" w:name="s3"/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ვენური თრომბოემბოლია (VTE)</w:t>
            </w:r>
          </w:p>
        </w:tc>
        <w:tc>
          <w:tcPr/>
          <w:p>
            <w:pPr>
              <w:pStyle w:val="Compact"/>
              <w:jc w:val="left"/>
            </w:pPr>
            <w:r>
              <w:t>ღრმა ვენის თრომბოზი და ფილტვის ემბოლია, რომლებიც ერთად წარმოადგენენ ერთ მდგომარეობას [1].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სისხლდენის რისკი</w:t>
            </w:r>
          </w:p>
        </w:tc>
        <w:tc>
          <w:tcPr/>
          <w:p>
            <w:pPr>
              <w:pStyle w:val="Compact"/>
              <w:jc w:val="left"/>
            </w:pPr>
            <w:r>
              <w:t>რისკი, რომ ანტიკოაგულანტური პროფილაქტიკა გამოიწვევს მძიმე სისხლდენას. ის ფასდება VTE-ის რისკთან ერთად და ორივე გადაწყვეტილება ერთად იწონება [1].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ფარმაკოლოგიური პროფილაქტიკა</w:t>
            </w:r>
          </w:p>
        </w:tc>
        <w:tc>
          <w:tcPr/>
          <w:p>
            <w:pPr>
              <w:pStyle w:val="Compact"/>
              <w:jc w:val="left"/>
            </w:pPr>
            <w:r>
              <w:t>წამალი, რომელიც სისხლის შედედების თავიდანასაცილებლად ეძლევა, მაგალითად დაბალმოლეკულური ჰეპარინი, დანიშნულების შესაბამისად.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მექანიკური პროფილაქტიკა</w:t>
            </w:r>
          </w:p>
        </w:tc>
        <w:tc>
          <w:tcPr/>
          <w:p>
            <w:pPr>
              <w:pStyle w:val="Compact"/>
              <w:jc w:val="left"/>
            </w:pPr>
            <w:r>
              <w:t>მოწყობილობა, მაგალითად გრადუირებული კომპრესიული წინდები ან ინტერმიტენტული პნევმატური კომპრესია, გამოიყენება იქ, სადაც წამლები შესაფერისი არ არის.</w:t>
            </w:r>
          </w:p>
        </w:tc>
      </w:tr>
    </w:tbl>
    <w:bookmarkEnd w:id="24"/>
    <w:bookmarkStart w:id="25" w:name="s4"/>
    <w:p>
      <w:pPr>
        <w:pStyle w:val="Heading2"/>
      </w:pPr>
      <w:r>
        <w:t>ფონი</w:t>
      </w:r>
    </w:p>
    <w:p>
      <w:pPr>
        <w:pStyle w:val="FirstParagraph"/>
      </w:pPr>
      <w:r>
        <w:t>ღრმა ვენებში ფეხებსა და მენჯში წარმოქმნილმა შედედებებმა შეიძლება მიაღწიოს ფილტვებს და გამოიწვიოს უეცარი სიკვდილი, ხშირად იმ პაციენტში, რომელიც ხელახლა ჯანმრთელდებოდა. NICE-ის სახელმძღვანელო NG89, რომელიც პირველად გამოქვეყნდა 2018 წელს და განახლდა 2019 წელს, რეკომენდაციას იძლევა, რომ ყველა პაციენტი შეფასდეს როგორც VTE-ის, ისე სისხლდენის რისკზე, და განსაზღვრავს ამ შეფასების დროს მოვლის გარემოს მიხედვით [1]. შეფასება საავადმყოფოში ერთ-ერთი ყველაზე ეფექტური ღონისძიებაა, მაგრამ მხოლოდ მაშინ, როცა ის ტარდება, ფიქსირდება და მასზე რეაგირებენ.</w:t>
      </w:r>
    </w:p>
    <w:bookmarkEnd w:id="25"/>
    <w:bookmarkStart w:id="26" w:name="s5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ამტკიცებს ამ SOP-ს და იღებს კვარტალურ VTE აუდიტს.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მიმღები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ასრულებს VTE-ისა და სისხლდენის რისკის შეფასებას, წყვეტს პროფილაქტიკას და ფიქსირებს გადაწყვეტილებასა და მიზეზს.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კონსულტანტი ან უფროსი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ახდენს ხელახალ შეფასებას კონსულტანტის შეფასებისას და მდგომარეობის შეცვლისას.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განყოფილების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>უტარებს პროფილაქტიკას დროულად, ამოწმებს ჩანაწერს და აცნობებს მდგომარეობის ნებისმიერ ცვლილებას.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პროფილაქტიკას დოზის, ურთიერთქმედების, თირკმლის ფუნქციისა და უკუჩვენებების მიხედვით.</w:t>
            </w:r>
          </w:p>
        </w:tc>
      </w:tr>
    </w:tbl>
    <w:bookmarkEnd w:id="26"/>
    <w:bookmarkStart w:id="27" w:name="s6"/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VTE-ის რისკის შეფასების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დამტკიცებული ფორმა, რომელიც მოიცავს VTE-ის რისკს, სისხლდენის რისკს და პროფილაქტიკის არ ჩატარების მიზეზს.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დადასტურებული ინსტრუმენტი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ორსული და ახლახან მშობიარე ქალებისთვის — ეროვნული ბრიტანული ორგანოს, პროფესიული ქსელის ან რეცენზირებადი ჟურნალის ინსტრუმენტი, როგორც NG89 მოითხოვს [1].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მექანიკური პროფილაქტიკა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კომპრესიული წინდები და მოწყობილობები ერთეულში არსებული ზომებით, მორგების შემოწმებით.</w:t>
            </w:r>
          </w:p>
        </w:tc>
      </w:tr>
    </w:tbl>
    <w:bookmarkEnd w:id="27"/>
    <w:bookmarkStart w:id="28" w:name="s7"/>
    <w:p>
      <w:pPr>
        <w:pStyle w:val="Heading2"/>
      </w:pPr>
      <w:r>
        <w:t>უსაფრთხოება და გამონაკლისები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>სისხლდენის რისკი. თუ სისხლდენის რისკი არსებობს, კლინიცისტი დანიშნულების მქონე ექიმთან განიხილავს VTE-სა და სისხლდენას შორის ბალანსს, სანამ პროფილაქტიკას დაიწყებენ ან შეაჩერებენ, და ფიქსირებს გადაწყვეტილებას [1].</w:t>
      </w:r>
      <w:r/>
      <w:r/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>ეჭვმიტანილი VTE. უეცარი სუნთქვის გაძნელება, მკერდის ტკივილი, სისხლის ხველა, ან მტკივნეული, შეშუპებული, თბილი ფეხი მედიკალური გადაუდებელი მდგომარეობაა. დაუყოვნებლივ დარეკეთ პასუხისმგებელ კლინიცისტთან.</w:t>
      </w:r>
      <w:r/>
      <w:r/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>თირკმლის ფუნქცია. პროფილაქტიკის დოზა მოწმდება თირკმლის ფუნქციის მიხედვით, და თუ ის შემცირებულია, ფარმაცევტს უკავშირდებიან.</w:t>
      </w:r>
      <w:r/>
      <w:r/>
    </w:p>
    <w:bookmarkEnd w:id="28"/>
    <w:bookmarkStart w:id="33" w:name="s8"/>
    <w:p>
      <w:pPr>
        <w:pStyle w:val="Heading2"/>
      </w:pPr>
      <w:r>
        <w:t>პროცედურა</w:t>
      </w:r>
    </w:p>
    <w:bookmarkStart w:id="29" w:name="before-you-start"/>
    <w:p>
      <w:pPr>
        <w:pStyle w:val="Heading3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>შეამოწმეთ, რომ VTE-ის ფორმა და მექანიკური პროფილაქტიკა ხელმისაწვდომი და აქტუალურია.</w:t>
      </w:r>
    </w:p>
    <w:p>
      <w:pPr>
        <w:numPr>
          <w:ilvl w:val="0"/>
          <w:numId w:val="1003"/>
        </w:numPr>
        <w:pStyle w:val="Compact"/>
      </w:pPr>
      <w:r>
        <w:t>შეამოწმეთ პაციენტის მიმდინარე ანტიკოაგულანტური და ანტიაგრეგანტული მედიკამენტები.</w:t>
      </w:r>
    </w:p>
    <w:bookmarkEnd w:id="29"/>
    <w:bookmarkStart w:id="30" w:name="step-1.-assess-on-admission"/>
    <w:p>
      <w:pPr>
        <w:pStyle w:val="Heading3"/>
      </w:pPr>
      <w:r>
        <w:t>ნაბიჯი 1. მიღებისას შეფასება</w:t>
      </w:r>
    </w:p>
    <w:p>
      <w:pPr>
        <w:numPr>
          <w:ilvl w:val="0"/>
          <w:numId w:val="1004"/>
        </w:numPr>
        <w:pStyle w:val="Compact"/>
      </w:pPr>
      <w:r>
        <w:t>შეაფასეთ ყველა პაციენტი VTE-ისა და სისხლდენის რისკზე [1].</w:t>
      </w:r>
    </w:p>
    <w:p>
      <w:pPr>
        <w:numPr>
          <w:ilvl w:val="0"/>
          <w:numId w:val="1004"/>
        </w:numPr>
        <w:pStyle w:val="Compact"/>
      </w:pPr>
      <w:r>
        <w:t>სამედიცინო პაციენტები: შეაფასეთ რაც შეიძლება მალე მიღების შემდეგ ან პირველი კონსულტანტის შეფასებისას [1].</w:t>
      </w:r>
    </w:p>
    <w:p>
      <w:pPr>
        <w:numPr>
          <w:ilvl w:val="0"/>
          <w:numId w:val="1004"/>
        </w:numPr>
        <w:pStyle w:val="Compact"/>
      </w:pPr>
      <w:r>
        <w:t>ქირურგიული და ტრავმის პაციენტები: შეაფასეთ იმავე ვადებში [1].</w:t>
      </w:r>
    </w:p>
    <w:p>
      <w:pPr>
        <w:numPr>
          <w:ilvl w:val="0"/>
          <w:numId w:val="1004"/>
        </w:numPr>
        <w:pStyle w:val="Compact"/>
      </w:pPr>
      <w:r>
        <w:t>ორსული ქალები და ახლახან მშობიარე, სპონტანური აბორტის ან ორსულობის შეწყვეტის მქონე ქალები: შეაფასეთ მიღებისას დადასტურებული ინსტრუმენტით [1].</w:t>
      </w:r>
    </w:p>
    <w:p>
      <w:pPr>
        <w:numPr>
          <w:ilvl w:val="0"/>
          <w:numId w:val="1004"/>
        </w:numPr>
        <w:pStyle w:val="Compact"/>
      </w:pPr>
      <w:r>
        <w:t>ჩაწერეთ VTE-ის რისკი, სისხლდენის რისკი და მიღებული გადაწყვეტილება.</w:t>
      </w:r>
    </w:p>
    <w:bookmarkEnd w:id="30"/>
    <w:bookmarkStart w:id="31" w:name="step-2.-decide-and-give-prophylaxis"/>
    <w:p>
      <w:pPr>
        <w:pStyle w:val="Heading3"/>
      </w:pPr>
      <w:r>
        <w:t>ნაბიჯი 2. გადაწყვიტეთ და მიეცით პროფილაქტიკა</w:t>
      </w:r>
    </w:p>
    <w:p>
      <w:pPr>
        <w:numPr>
          <w:ilvl w:val="0"/>
          <w:numId w:val="1005"/>
        </w:numPr>
        <w:pStyle w:val="Compact"/>
      </w:pPr>
      <w:r>
        <w:t>თუ პაციენტი რისკის ქვეშაა და სისხლდენის რისკი მისაღებია, დანიშნეთ პროფილაქტიკა (ფარმაკოლოგიური ან მექანიკური) დაწესებულების პროტოკოლის მიხედვით.</w:t>
      </w:r>
    </w:p>
    <w:p>
      <w:pPr>
        <w:numPr>
          <w:ilvl w:val="0"/>
          <w:numId w:val="1005"/>
        </w:numPr>
        <w:pStyle w:val="Compact"/>
      </w:pPr>
      <w:r>
        <w:t>თუ სისხლდენის რისკი მაღალია, განიხილეთ დანიშნულების მქონე ექიმთან გადაწყვეტილებამდე. ჩაწერეთ როგორც გადაწყვეტილება, ისე მიზეზი.</w:t>
      </w:r>
    </w:p>
    <w:p>
      <w:pPr>
        <w:numPr>
          <w:ilvl w:val="0"/>
          <w:numId w:val="1005"/>
        </w:numPr>
        <w:pStyle w:val="Compact"/>
      </w:pPr>
      <w:r>
        <w:t>თითოეული დანიშნული დოზა დროულად მიეცით და ჩაწერეთ.</w:t>
      </w:r>
    </w:p>
    <w:p>
      <w:pPr>
        <w:numPr>
          <w:ilvl w:val="0"/>
          <w:numId w:val="1005"/>
        </w:numPr>
        <w:pStyle w:val="Compact"/>
      </w:pPr>
      <w:r>
        <w:t>თუ პროფილაქტიკა არ ეძლევა, მიზეზი ჩაწერეთ ჩანაწერებსა და ფორმაში.</w:t>
      </w:r>
    </w:p>
    <w:bookmarkEnd w:id="31"/>
    <w:bookmarkStart w:id="32" w:name="step-3.-reassess-at-each-point-of-change"/>
    <w:p>
      <w:pPr>
        <w:pStyle w:val="Heading3"/>
      </w:pPr>
      <w:r>
        <w:t>ნაბიჯი 3. ხელახალი შეფასება ცვლილების ყოველ წერტილში</w:t>
      </w:r>
    </w:p>
    <w:p>
      <w:pPr>
        <w:numPr>
          <w:ilvl w:val="0"/>
          <w:numId w:val="1006"/>
        </w:numPr>
        <w:pStyle w:val="Compact"/>
      </w:pPr>
      <w:r>
        <w:t>ხელახლა შეაფასეთ კონსულტანტის შეფასებისას და ყოველ ჯერზე, როცა იცვლება კლინიკური მდგომარეობა [1].</w:t>
      </w:r>
    </w:p>
    <w:p>
      <w:pPr>
        <w:numPr>
          <w:ilvl w:val="0"/>
          <w:numId w:val="1006"/>
        </w:numPr>
        <w:pStyle w:val="Compact"/>
      </w:pPr>
      <w:r>
        <w:t>ქალისთვის, რომელმაც იმშობიარა, სპონტანურად ააბორტა ან შეწყვიტა ორსულობა, ხელახლა შეაფასეთ 6 საათში [1].</w:t>
      </w:r>
    </w:p>
    <w:p>
      <w:pPr>
        <w:numPr>
          <w:ilvl w:val="0"/>
          <w:numId w:val="1006"/>
        </w:numPr>
        <w:pStyle w:val="Compact"/>
      </w:pPr>
      <w:r>
        <w:t>თუ ერთეულის პრაქტიკა ოპერაციამდე ხელახალ შეფასებას მოითხოვს, ჩაატარეთ და ჩაწერეთ (ადგილობრივი პრაქტიკა; NG89-ის ხელახალი შეფასების ტრიგერები მოცემულია ზემოთ, ნაბიჯ 3-ში).</w:t>
      </w:r>
    </w:p>
    <w:bookmarkEnd w:id="32"/>
    <w:bookmarkEnd w:id="33"/>
    <w:bookmarkStart w:id="34" w:name="s9"/>
    <w:p>
      <w:pPr>
        <w:pStyle w:val="Heading2"/>
      </w:pPr>
      <w:r>
        <w:t>სამუშაო მაგალითები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რა უნდა გაკეთდეს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>66 წლის ქალი ინიშნება მიღებაზე ფილტვების ინფექციის გამო და აქვს შემცირებული მობილობა.</w:t>
            </w:r>
          </w:p>
        </w:tc>
        <w:tc>
          <w:tcPr/>
          <w:p>
            <w:pPr>
              <w:pStyle w:val="Compact"/>
              <w:jc w:val="left"/>
            </w:pPr>
            <w:r>
              <w:t>ის სამედიცინო პაციენტია, ამიტომ შეაფასეთ VTE და სისხლდენის რისკი რაც შეიძლება მალე მიღების შემდეგ ან პირველი კონსულტანტის შეფასებისას [1]. თუ რისკის ქვეშაა და სისხლდენის რისკი მისაღებია, დანიშნეთ პროფილაქტიკა. ხელახლა შეაფასეთ კონსულტანტის შეფასებისას და კიდევ, თუ მისი მდგომარეობა გაუარესდება.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>პაციენტი, რომელიც იღებს სრული დოზის ანტიკოაგულანტს წინაგულების ფიბრილაციის გამო, ინიშნება ოპერაციაზე.</w:t>
            </w:r>
          </w:p>
        </w:tc>
        <w:tc>
          <w:tcPr/>
          <w:p>
            <w:pPr>
              <w:pStyle w:val="Compact"/>
              <w:jc w:val="left"/>
            </w:pPr>
            <w:r>
              <w:t>მისი არსებული ანტიკოაგულანტი მისი დიაგნოზის მკურნალობის ნაწილია და არა პროფილაქტიკა, ამიტომ გამოიყენება დიაგნოზის მკურნალობის პროტოკოლი. განიხილეთ ოპერაციის შემდგომი გეგმა დანიშნულების მქონე ექიმთან და ჩაწერეთ გადაწყვეტილება და მიზეზი [1].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>ქალს უტარდება გადაუდებელი საკეისრო კვეთა.</w:t>
            </w:r>
          </w:p>
        </w:tc>
        <w:tc>
          <w:tcPr/>
          <w:p>
            <w:pPr>
              <w:pStyle w:val="Compact"/>
              <w:jc w:val="left"/>
            </w:pPr>
            <w:r>
              <w:t>მას მიღებისას აფასებენ [1]. ხელახლა ფასდება მშობიარობიდან 6 საათში [1]. ჩაწერეთ VTE-ის რისკი, ოპერაციის შემდგომი სისხლდენის რისკი და პროფილაქტიკის გადაწყვეტილება.</w:t>
            </w:r>
          </w:p>
        </w:tc>
      </w:tr>
    </w:tbl>
    <w:p>
      <w:pPr>
        <w:pStyle w:val="BodyText"/>
      </w:pPr>
      <w:r>
        <w:rPr>
          <w:bCs/>
          <w:b/>
        </w:rPr>
        <w:t>სურათი 1. VTE-ის შეფასების გზა</w:t>
      </w:r>
    </w:p>
    <w:p>
      <w:pPr>
        <w:pStyle w:val="BodyText"/>
      </w:pPr>
      <w:r>
        <w:rPr>
          <w:bCs/>
          <w:b/>
        </w:rPr>
        <w:t>სურათი 2. როდის ფასდება რისკი ხელახლა</w:t>
      </w:r>
    </w:p>
    <w:bookmarkEnd w:id="34"/>
    <w:bookmarkStart w:id="35" w:name="s10"/>
    <w:p>
      <w:pPr>
        <w:pStyle w:val="Heading2"/>
      </w:pPr>
      <w:r>
        <w:t>გადაწყვეტილების წერტილები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თუ</w:t>
            </w:r>
          </w:p>
        </w:tc>
        <w:tc>
          <w:tcPr/>
          <w:p>
            <w:pPr>
              <w:pStyle w:val="Compact"/>
              <w:jc w:val="left"/>
            </w:pPr>
            <w:r>
              <w:t>მაშინ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რისკის ქვეშაა და სისხლდენის რისკი მისაღებია</w:t>
            </w:r>
          </w:p>
        </w:tc>
        <w:tc>
          <w:tcPr/>
          <w:p>
            <w:pPr>
              <w:pStyle w:val="Compact"/>
              <w:jc w:val="left"/>
            </w:pPr>
            <w:r>
              <w:t>დანიშნეთ პროფილაქტიკა და მიეცით დროულად.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რისკის ქვეშაა და სისხლდენის რისკი მაღალია</w:t>
            </w:r>
          </w:p>
        </w:tc>
        <w:tc>
          <w:tcPr/>
          <w:p>
            <w:pPr>
              <w:pStyle w:val="Compact"/>
              <w:jc w:val="left"/>
            </w:pPr>
            <w:r>
              <w:t>განიხილეთ დანიშნულების მქონე ექიმთან; ჩაწერეთ გადაწყვეტილება და მიზეზი.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ფარმაკოლოგიური პროფილაქტიკა შეუფერებელია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გამოიყენეთ მექანიკური პროფილაქტიკა; ჩაწერეთ მიზეზი.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ეჭვმიტანილი VTE</w:t>
            </w:r>
          </w:p>
        </w:tc>
        <w:tc>
          <w:tcPr/>
          <w:p>
            <w:pPr>
              <w:pStyle w:val="Compact"/>
              <w:jc w:val="left"/>
            </w:pPr>
            <w:r>
              <w:t>დაუყოვნებლივ გადაეცით პასუხისმგებელ კლინიცისტს.</w:t>
            </w:r>
          </w:p>
        </w:tc>
      </w:tr>
    </w:tbl>
    <w:bookmarkEnd w:id="35"/>
    <w:bookmarkStart w:id="36" w:name="s11"/>
    <w:p>
      <w:pPr>
        <w:pStyle w:val="Heading2"/>
      </w:pPr>
      <w:r>
        <w:t>ესკალაცია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მოვლენა</w:t>
            </w:r>
          </w:p>
        </w:tc>
        <w:tc>
          <w:tcPr/>
          <w:p>
            <w:pPr>
              <w:pStyle w:val="Compact"/>
              <w:jc w:val="left"/>
            </w:pPr>
            <w:r>
              <w:t>შეატყობინეთ</w:t>
            </w:r>
          </w:p>
        </w:tc>
        <w:tc>
          <w:tcPr/>
          <w:p>
            <w:pPr>
              <w:pStyle w:val="Compact"/>
              <w:jc w:val="left"/>
            </w:pPr>
            <w:r>
              <w:t>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რისკის მქონე პაციენტი პროფილაქტიკისა და ჩაწერილი მიზეზის გარეშე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დაუყოვნებლივ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ეჭვმიტანილი VTE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 კლინიცისტი და სამედიცინო გუნდი</w:t>
            </w:r>
          </w:p>
        </w:tc>
        <w:tc>
          <w:tcPr/>
          <w:p>
            <w:pPr>
              <w:pStyle w:val="Compact"/>
              <w:jc w:val="left"/>
            </w:pPr>
            <w:r>
              <w:t>დაუყოვნებლივ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საავადმყოფოში შეძენილი VTE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დირექტორი, რისკის ჯგუფი და პაციენტის ოჯახი</w:t>
            </w:r>
          </w:p>
        </w:tc>
        <w:tc>
          <w:tcPr/>
          <w:p>
            <w:pPr>
              <w:pStyle w:val="Compact"/>
              <w:jc w:val="left"/>
            </w:pPr>
            <w:r>
              <w:t>დაუყოვნებლივ; ინციდენტის ანგარიში 24 საათში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შეფასების მაჩვენებელი დაწესებულების ზღვარზე დაბალია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 და ხარისხის ჯგუფი</w:t>
            </w:r>
          </w:p>
        </w:tc>
        <w:tc>
          <w:tcPr/>
          <w:p>
            <w:pPr>
              <w:pStyle w:val="Compact"/>
              <w:jc w:val="left"/>
            </w:pPr>
            <w:r>
              <w:t>ერთ კვირაში</w:t>
            </w:r>
          </w:p>
        </w:tc>
      </w:tr>
    </w:tbl>
    <w:bookmarkEnd w:id="36"/>
    <w:bookmarkStart w:id="37" w:name="s12"/>
    <w:p>
      <w:pPr>
        <w:pStyle w:val="Heading2"/>
      </w:pPr>
      <w:r>
        <w:t>მონიტორინგი და შესაბამისობა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მიზნობრივი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მეთოდი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VTE და სისხლდენის რისკი შეფასებულია მიღებისას</w:t>
            </w:r>
          </w:p>
        </w:tc>
        <w:tc>
          <w:tcPr/>
          <w:p>
            <w:pPr>
              <w:pStyle w:val="Compact"/>
              <w:jc w:val="left"/>
            </w:pPr>
            <w:r>
              <w:t>მიღებების 100%</w:t>
            </w:r>
          </w:p>
        </w:tc>
        <w:tc>
          <w:tcPr/>
          <w:p>
            <w:pPr>
              <w:pStyle w:val="Compact"/>
              <w:jc w:val="left"/>
            </w:pPr>
            <w:r>
              <w:t>აუდიტი 20 ჩანაწერზე თითო ერთეულში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პროფილაქტიკა ეძლევა ან მიზეზი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>რისკის მქონე პაციენტების 100%</w:t>
            </w:r>
          </w:p>
        </w:tc>
        <w:tc>
          <w:tcPr/>
          <w:p>
            <w:pPr>
              <w:pStyle w:val="Compact"/>
              <w:jc w:val="left"/>
            </w:pPr>
            <w:r>
              <w:t>რისკის მქონე ჩანაწერების აუდიტი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ხელახალი შეფასება კონსულტანტის შეფასებისას და ცვლილების შემდეგ</w:t>
            </w:r>
          </w:p>
        </w:tc>
        <w:tc>
          <w:tcPr/>
          <w:p>
            <w:pPr>
              <w:pStyle w:val="Compact"/>
              <w:jc w:val="left"/>
            </w:pPr>
            <w:r>
              <w:t>უფლებამოსილი პაციენტების 100%</w:t>
            </w:r>
          </w:p>
        </w:tc>
        <w:tc>
          <w:tcPr/>
          <w:p>
            <w:pPr>
              <w:pStyle w:val="Compact"/>
              <w:jc w:val="left"/>
            </w:pPr>
            <w:r>
              <w:t>აუდიტი 20 ჩანაწერზე თითო ერთეულში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საავადმყოფოში შეძენილი VTE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მიერ დადგენილი და გადახედილი</w:t>
            </w:r>
          </w:p>
        </w:tc>
        <w:tc>
          <w:tcPr/>
          <w:p>
            <w:pPr>
              <w:pStyle w:val="Compact"/>
              <w:jc w:val="left"/>
            </w:pPr>
            <w:r>
              <w:t>ინციდენტების მონაცემები</w:t>
            </w:r>
          </w:p>
        </w:tc>
        <w:tc>
          <w:tcPr/>
          <w:p>
            <w:pPr>
              <w:pStyle w:val="Compact"/>
              <w:jc w:val="left"/>
            </w:pPr>
            <w:r>
              <w:t>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ჯგუფი</w:t>
            </w:r>
          </w:p>
        </w:tc>
      </w:tr>
    </w:tbl>
    <w:bookmarkEnd w:id="37"/>
    <w:bookmarkStart w:id="38" w:name="s13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VTE და სისხლდენის რისკის შეფასება და პროფილაქტიკის გადაწყვეტილება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ინსტიტუციური შენახვის პოლიტიკის მიხედვით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ინციდენტების ანგარიშები</w:t>
            </w:r>
          </w:p>
        </w:tc>
        <w:tc>
          <w:tcPr/>
          <w:p>
            <w:pPr>
              <w:pStyle w:val="Compact"/>
              <w:jc w:val="left"/>
            </w:pPr>
            <w:r>
              <w:t>ინციდენტების მართვის სისტემა</w:t>
            </w:r>
          </w:p>
        </w:tc>
        <w:tc>
          <w:tcPr/>
          <w:p>
            <w:pPr>
              <w:pStyle w:val="Compact"/>
              <w:jc w:val="left"/>
            </w:pPr>
            <w:r>
              <w:t>ინსტიტუციური შენახვის პოლიტიკის მიხედვით</w:t>
            </w:r>
          </w:p>
        </w:tc>
      </w:tr>
    </w:tbl>
    <w:bookmarkEnd w:id="38"/>
    <w:bookmarkStart w:id="39" w:name="s14"/>
    <w:p>
      <w:pPr>
        <w:pStyle w:val="Heading2"/>
      </w:pPr>
      <w:r>
        <w:t>ტრენინგი და კომპეტენცია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>ჩართვისას: რისკის შეფასება, ვადები, სისხლდენის რისკზე განხილვა და ეჭვმიტანილ VTE-ზე რეაგირება.</w:t>
      </w:r>
      <w:r/>
      <w:r/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>ყოველწლიური განახლება: შემთხვევებზე დაფუძნებული განხილვა თითო კლინიცისტზე სამი აუდიტირებული ჩანაწერით.</w:t>
      </w:r>
      <w:r/>
      <w:r/>
    </w:p>
    <w:bookmarkEnd w:id="39"/>
    <w:bookmarkStart w:id="40" w:name="s15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კავშირი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CLN-SOP-001-EN</w:t>
            </w:r>
          </w:p>
        </w:tc>
        <w:tc>
          <w:tcPr/>
          <w:p>
            <w:pPr>
              <w:pStyle w:val="Compact"/>
              <w:jc w:val="left"/>
            </w:pPr>
            <w:r>
              <w:t>სტრუქტურირებული კლინიკური შეფასება მიღებისას</w:t>
            </w:r>
          </w:p>
        </w:tc>
        <w:tc>
          <w:tcPr/>
          <w:p>
            <w:pPr>
              <w:pStyle w:val="Compact"/>
              <w:jc w:val="left"/>
            </w:pPr>
            <w:r>
              <w:t>მიღების შეფასება</w:t>
            </w:r>
          </w:p>
        </w:tc>
      </w:tr>
    </w:tbl>
    <w:bookmarkEnd w:id="40"/>
    <w:bookmarkStart w:id="41" w:name="s16"/>
    <w:p>
      <w:pPr>
        <w:pStyle w:val="Heading2"/>
      </w:pPr>
      <w:r>
        <w:t>წყაროები</w:t>
      </w:r>
    </w:p>
    <w:p>
      <w:pPr>
        <w:numPr>
          <w:ilvl w:val="0"/>
          <w:numId w:val="1008"/>
        </w:numPr>
        <w:pStyle w:val="Compact"/>
      </w:pPr>
      <w:r>
        <w:t>National Institute for Health and Care Excellence. Venous thromboembolism in over 16s: reducing the risk of hospital-acquired deep vein thrombosis or pulmonary embolism (NICE guideline NG89). Published 21 March 2018; updated 13 August 2019. Recommendations 1.1.1, 1.1.2, 1.1.5, 1.1.8, 1.1.9 and 1.1.10 as read from the guideline. Available from: https://www.nice.org.uk/guidance/ng89</w:t>
      </w:r>
    </w:p>
    <w:bookmarkEnd w:id="41"/>
    <w:bookmarkStart w:id="42" w:name="s17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ცვლილების შეჯამება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დამტკიცებული ვერსია.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არსებითი გადახედვა: შეფასების ვადები მოვლის გარემოს მიხედვით, სისხლდენის რისკის გადაწყვეტილება, ორსულობისა და მშობიარობის შემდგომი წესები, თირკმლის შემოწმება და სამუშაო მაგალითები; წყაროები შემოწმებულია NG89-თან.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bookmarkEnd w:id="42"/>
    <w:bookmarkStart w:id="43" w:name="annex-a"/>
    <w:p>
      <w:pPr>
        <w:pStyle w:val="Heading2"/>
      </w:pPr>
      <w:r>
        <w:t>დანართი A. VTE აუდიტის ჩანაწერი</w:t>
      </w:r>
    </w:p>
    <w:p>
      <w:pPr>
        <w:pStyle w:val="FirstParagraph"/>
      </w:pPr>
      <w:r>
        <w:t>ამ ჩანაწერს გამოიყენეთ აუდიტის ყოველი სესიისთვის. დააფიქსირეთ თითო ხაზი თითო პაციენტზე ან დაკვირვებულ დავალებაზე. შეიყვანეთ Y, N ან NA, როგორც სვეტის სათაურშია ნაჩვენები.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რისკი შეფასებულია მიღებისას (Y / N)</w:t>
            </w:r>
          </w:p>
        </w:tc>
        <w:tc>
          <w:tcPr/>
          <w:p>
            <w:pPr>
              <w:pStyle w:val="Compact"/>
              <w:jc w:val="left"/>
            </w:pPr>
            <w:r>
              <w:t>შეფასებულია ვადაში (Y / N)</w:t>
            </w:r>
          </w:p>
        </w:tc>
        <w:tc>
          <w:tcPr/>
          <w:p>
            <w:pPr>
              <w:pStyle w:val="Compact"/>
              <w:jc w:val="left"/>
            </w:pPr>
            <w:r>
              <w:t>პროფილაქტიკა მიცემულია ან მიზეზი ჩაწერილია (Y / N)</w:t>
            </w:r>
          </w:p>
        </w:tc>
        <w:tc>
          <w:tcPr/>
          <w:p>
            <w:pPr>
              <w:pStyle w:val="Compact"/>
              <w:jc w:val="left"/>
            </w:pPr>
            <w:r>
              <w:t>ხელახლა შეფასებულია მდგომარეობის ცვლილებისას (Y / N / NA)</w:t>
            </w:r>
          </w:p>
        </w:tc>
        <w:tc>
          <w:tcPr/>
          <w:p>
            <w:pPr>
              <w:pStyle w:val="Compact"/>
              <w:jc w:val="left"/>
            </w:pPr>
            <w:r>
              <w:t>კომენტარი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sectPr>
      <w:headerReference w:type="default" r:id="rId9"/>
      <w:footerReference w:type="default" r:id="rId10"/>
      <w:pgSz w:w="11906" w:h="16838"/>
      <w:pgMar w:left="1134" w:right="1134" w:top="1020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2026-10-29T09:45:51Z</dcterms:created>
  <dcterms:modified xsi:type="dcterms:W3CDTF">2026-10-29T09:45:51Z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