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1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ფორმები</w:t>
        </w:r>
      </w:hyperlink>
    </w:p>
    <w:p>
      <w:pPr>
        <w:pStyle w:val="BodyText"/>
      </w:pPr>
      <w:r>
        <w:t xml:space="preserve">ფორმა · CON-FRM-001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</w:t>
      </w:r>
      <w:r>
        <w:t xml:space="preserve"> </w:t>
      </w:r>
      <w:hyperlink r:id="rId23">
        <w:r>
          <w:rPr>
            <w:rStyle w:val="Hyperlink"/>
          </w:rPr>
          <w:t xml:space="preserve">1.3</w:t>
        </w:r>
      </w:hyperlink>
    </w:p>
    <w:bookmarkStart w:id="24" w:name="მიზანი"/>
    <w:p>
      <w:pPr>
        <w:pStyle w:val="Heading2"/>
      </w:pPr>
      <w:r>
        <w:t xml:space="preserve">მიზანი</w:t>
      </w:r>
    </w:p>
    <w:p>
      <w:pPr>
        <w:pStyle w:val="FirstParagraph"/>
      </w:pPr>
      <w:r>
        <w:t xml:space="preserve">მნიშვნელოვანი მზრუნველობისთვის ინფორმირებული თანხმობის ასაღებად, ერთი ჩანაწერი თითო პროცედურაზე.</w:t>
      </w:r>
    </w:p>
    <w:bookmarkEnd w:id="24"/>
    <w:bookmarkStart w:id="25" w:name="როგორ-შევავსოთ"/>
    <w:p>
      <w:pPr>
        <w:pStyle w:val="Heading2"/>
      </w:pPr>
      <w:r>
        <w:t xml:space="preserve">როგორ შევავსოთ</w:t>
      </w:r>
    </w:p>
    <w:p>
      <w:pPr>
        <w:numPr>
          <w:ilvl w:val="0"/>
          <w:numId w:val="1001"/>
        </w:numPr>
        <w:pStyle w:val="Compact"/>
      </w:pPr>
      <w:r>
        <w:t xml:space="preserve">შეავსეთ ერთი ფორმა თითო პაციენტზე, თითო სფეროზე ან თითო პერიოდზე, როგორც მიზანი მიუთითებს.</w:t>
      </w:r>
    </w:p>
    <w:p>
      <w:pPr>
        <w:numPr>
          <w:ilvl w:val="0"/>
          <w:numId w:val="1001"/>
        </w:numPr>
        <w:pStyle w:val="Compact"/>
      </w:pPr>
      <w:r>
        <w:t xml:space="preserve">მონიშნეთ დიახ, არა ან N/A. ნებისმიერი არა დაუყოვნებლივ მოქმედებს და ეცნობება პროცედურაში დასახელებულ პირს.</w:t>
      </w:r>
    </w:p>
    <w:bookmarkEnd w:id="25"/>
    <w:bookmarkStart w:id="26" w:name="შემოწმებები"/>
    <w:p>
      <w:pPr>
        <w:pStyle w:val="Heading2"/>
      </w:pPr>
      <w:r>
        <w:t xml:space="preserve">შემოწმებები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შესამოწმებელი პუნქტი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სტანდარტული მითითება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პროცედურა, რისკები და ალტერნატივები აიხსნა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 [EC]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გამოყენებულია თარჯიმანი, საჭიროების შემთხვევაში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 ან N/A [EC]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ქმედუნარიანობა დადასტურებულია ან დასახელებულია კანონიერი წარმომადგენელი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 [EC]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პაციენტმა მოაწერა ხელი ან ზეპირი თანხმობა ჩაიწერა მოწმის თანდასწრებით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 [EC]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თანხმობა ჩაწერილია პროცედურამდე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 [EC]</w:t>
            </w:r>
          </w:p>
        </w:tc>
      </w:tr>
    </w:tbl>
    <w:bookmarkEnd w:id="26"/>
    <w:bookmarkStart w:id="27" w:name="მტკიცებულებები"/>
    <w:p>
      <w:pPr>
        <w:pStyle w:val="Heading2"/>
      </w:pPr>
      <w:r>
        <w:t xml:space="preserve">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</w:t>
            </w:r>
          </w:p>
        </w:tc>
      </w:tr>
    </w:tbl>
    <w:bookmarkEnd w:id="27"/>
    <w:bookmarkStart w:id="28" w:name="ცვლილებების-ისტორია"/>
    <w:p>
      <w:pPr>
        <w:pStyle w:val="Heading2"/>
      </w:pPr>
      <w:r>
        <w:t xml:space="preserve">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დამტკიცებული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დამტკიცებულია ASF ექსპერტთა კომიტეტის მიერ</w:t>
            </w:r>
          </w:p>
        </w:tc>
      </w:tr>
    </w:tbl>
    <w:bookmarkEnd w:id="28"/>
    <w:bookmarkStart w:id="32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numPr>
          <w:ilvl w:val="0"/>
          <w:numId w:val="1002"/>
        </w:numPr>
        <w:pStyle w:val="Compact"/>
      </w:pPr>
      <w:hyperlink r:id="rId29">
        <w:r>
          <w:rPr>
            <w:rStyle w:val="Hyperlink"/>
          </w:rPr>
          <w:t xml:space="preserve">პაციენტის იდენტიფიკაცია, ინფორმირებული თანხმობა და პაციენტის უფლებები</w:t>
        </w:r>
      </w:hyperlink>
      <w:r>
        <w:t xml:space="preserve"> </w:t>
      </w:r>
      <w:r>
        <w:t xml:space="preserve">(T-07)</w:t>
      </w:r>
    </w:p>
    <w:p>
      <w:pPr>
        <w:numPr>
          <w:ilvl w:val="0"/>
          <w:numId w:val="1002"/>
        </w:numPr>
        <w:pStyle w:val="Compact"/>
      </w:pPr>
      <w:r>
        <w:t xml:space="preserve">ჯანდაცვის ეთიკა ASF აკრედიტაციისთვის</w:t>
      </w:r>
      <w:r>
        <w:t xml:space="preserve"> </w:t>
      </w:r>
      <w:r>
        <w:t xml:space="preserve">(A-07)</w:t>
      </w:r>
    </w:p>
    <w:p>
      <w:pPr>
        <w:numPr>
          <w:ilvl w:val="0"/>
          <w:numId w:val="1002"/>
        </w:numPr>
        <w:pStyle w:val="Compact"/>
      </w:pPr>
      <w:hyperlink r:id="rId30">
        <w:r>
          <w:rPr>
            <w:rStyle w:val="Hyperlink"/>
          </w:rPr>
          <w:t xml:space="preserve">მოვლის გეგმის შემუშავება და მუდმივი მეთვალყურეობა</w:t>
        </w:r>
      </w:hyperlink>
      <w:r>
        <w:t xml:space="preserve"> </w:t>
      </w:r>
      <w:r>
        <w:t xml:space="preserve">(HC-06)</w:t>
      </w:r>
    </w:p>
    <w:p>
      <w:pPr>
        <w:numPr>
          <w:ilvl w:val="0"/>
          <w:numId w:val="1002"/>
        </w:numPr>
        <w:pStyle w:val="Compact"/>
      </w:pPr>
      <w:hyperlink r:id="rId31">
        <w:r>
          <w:rPr>
            <w:rStyle w:val="Hyperlink"/>
          </w:rPr>
          <w:t xml:space="preserve">მზრუნველობა და მკურნალობა: კლინიკური სტანდარტები აკრედიტაციისთვის</w:t>
        </w:r>
      </w:hyperlink>
      <w:r>
        <w:t xml:space="preserve"> </w:t>
      </w:r>
      <w:r>
        <w:t xml:space="preserve">(H-04)</w:t>
      </w:r>
    </w:p>
    <w:bookmarkEnd w:id="32"/>
    <w:bookmarkStart w:id="35" w:name="ციტირებული-წყაროები"/>
    <w:p>
      <w:pPr>
        <w:pStyle w:val="Heading2"/>
      </w:pPr>
      <w:r>
        <w:t xml:space="preserve">ციტირებული წყაროები</w:t>
      </w:r>
    </w:p>
    <w:p>
      <w:pPr>
        <w:numPr>
          <w:ilvl w:val="0"/>
          <w:numId w:val="1003"/>
        </w:numPr>
        <w:pStyle w:val="Compact"/>
      </w:pPr>
      <w:r>
        <w:t xml:space="preserve">Accréditation Sans Frontières (2026). ASF ექსპერტთა კომიტეტის კონსენსუსი სტანდარტ 1-ზე.</w:t>
      </w:r>
      <w:r>
        <w:t xml:space="preserve"> </w:t>
      </w:r>
      <w:r>
        <w:t xml:space="preserve">(E-009)</w:t>
      </w:r>
    </w:p>
    <w:p>
      <w:pPr>
        <w:pStyle w:val="FirstParagraph"/>
      </w:pPr>
      <w:hyperlink r:id="rId33">
        <w:r>
          <w:rPr>
            <w:rStyle w:val="Hyperlink"/>
          </w:rPr>
          <w:t xml:space="preserve">ჩამოტვირთეთ დოკუმენტი PDF ფორმატში</w:t>
        </w:r>
      </w:hyperlink>
    </w:p>
    <w:p>
      <w:pPr>
        <w:pStyle w:val="BodyText"/>
      </w:pPr>
      <w:hyperlink r:id="rId34">
        <w:r>
          <w:rPr>
            <w:rStyle w:val="Hyperlink"/>
          </w:rPr>
          <w:t xml:space="preserve">ჩამოტვირთეთ დოკუმენტი რედაქტირებადი Word ფაილის სახით</w:t>
        </w:r>
      </w:hyperlink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ka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/ka/resources/form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1/" TargetMode="External" /><Relationship Type="http://schemas.openxmlformats.org/officeDocument/2006/relationships/hyperlink" Id="rId23" Target="/ka/standards/standard-1/#c1-3" TargetMode="External" /><Relationship Type="http://schemas.openxmlformats.org/officeDocument/2006/relationships/hyperlink" Id="rId31" Target="https://academy.gmj.ge/courses/asf-h-04-ka/" TargetMode="External" /><Relationship Type="http://schemas.openxmlformats.org/officeDocument/2006/relationships/hyperlink" Id="rId30" Target="https://academy.gmj.ge/courses/asf-hc-06-en/" TargetMode="External" /><Relationship Type="http://schemas.openxmlformats.org/officeDocument/2006/relationships/hyperlink" Id="rId29" Target="https://academy.gmj.ge/courses/asf-t-07-en/" TargetMode="External" /><Relationship Type="http://schemas.openxmlformats.org/officeDocument/2006/relationships/hyperlink" Id="rId34" Target="https://france-asf.fr/wp-content/uploads/2026/10/con-frm-001-form-1.docx" TargetMode="External" /><Relationship Type="http://schemas.openxmlformats.org/officeDocument/2006/relationships/hyperlink" Id="rId33" Target="https://france-asf.fr/wp-content/uploads/2026/10/con-frm-001-form-a4-1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/ka/resources/form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1/" TargetMode="External" /><Relationship Type="http://schemas.openxmlformats.org/officeDocument/2006/relationships/hyperlink" Id="rId23" Target="/ka/standards/standard-1/#c1-3" TargetMode="External" /><Relationship Type="http://schemas.openxmlformats.org/officeDocument/2006/relationships/hyperlink" Id="rId31" Target="https://academy.gmj.ge/courses/asf-h-04-ka/" TargetMode="External" /><Relationship Type="http://schemas.openxmlformats.org/officeDocument/2006/relationships/hyperlink" Id="rId30" Target="https://academy.gmj.ge/courses/asf-hc-06-en/" TargetMode="External" /><Relationship Type="http://schemas.openxmlformats.org/officeDocument/2006/relationships/hyperlink" Id="rId29" Target="https://academy.gmj.ge/courses/asf-t-07-en/" TargetMode="External" /><Relationship Type="http://schemas.openxmlformats.org/officeDocument/2006/relationships/hyperlink" Id="rId34" Target="https://france-asf.fr/wp-content/uploads/2026/10/con-frm-001-form-1.docx" TargetMode="External" /><Relationship Type="http://schemas.openxmlformats.org/officeDocument/2006/relationships/hyperlink" Id="rId33" Target="https://france-asf.fr/wp-content/uploads/2026/10/con-frm-001-form-a4-1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ka</dc:language>
  <cp:keywords/>
  <dcterms:created xsi:type="dcterms:W3CDTF">2026-11-07T01:47:02Z</dcterms:created>
  <dcterms:modified xsi:type="dcterms:W3CDTF">2026-11-07T01:47:02Z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