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CON-POL-001:</w:t>
      </w:r>
      <w:r>
        <w:t xml:space="preserve"> </w:t>
      </w:r>
      <w:r>
        <w:t xml:space="preserve">პაციენტის</w:t>
      </w:r>
      <w:r>
        <w:t xml:space="preserve"> </w:t>
      </w:r>
      <w:r>
        <w:t xml:space="preserve">უფლებები</w:t>
      </w:r>
      <w:r>
        <w:t xml:space="preserve"> </w:t>
      </w:r>
      <w:r>
        <w:t xml:space="preserve">და</w:t>
      </w:r>
      <w:r>
        <w:t xml:space="preserve"> </w:t>
      </w:r>
      <w:r>
        <w:t xml:space="preserve">ვალდებულებები</w:t>
      </w:r>
    </w:p>
    <w:bookmarkStart w:id="36" w:name="Xafdf433f44efbc54afcd3ff10f2084f5ac3bb77"/>
    <w:p>
      <w:pPr>
        <w:pStyle w:val="Heading1"/>
      </w:pPr>
      <w:r>
        <w:t xml:space="preserve">CON-POL-001: პაციენტის უფლებები და ვალდებულებები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CON-POL-001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1.7</w:t>
        </w:r>
      </w:hyperlink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ყოველი პაციენტის უფლებებისა და ვალდებულებების დასადგენად და იმის უზრუნველსაყოფად, რომ ისინი ხილული და გასაგები იყოს [E-009].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p>
      <w:pPr>
        <w:pStyle w:val="FirstParagraph"/>
      </w:pPr>
      <w:r>
        <w:t xml:space="preserve">ობიექტზე ყველა პაციენტი და მზრუნველი, და ყველა პერსონალი, ვინც მათ აცნობებს.</w:t>
      </w:r>
    </w:p>
    <w:bookmarkEnd w:id="25"/>
    <w:bookmarkStart w:id="26" w:name="პასუხისმგებლობები"/>
    <w:p>
      <w:pPr>
        <w:pStyle w:val="Heading2"/>
      </w:pPr>
      <w:r>
        <w:t xml:space="preserve">3.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ქარტიასა და მის განთავსებას.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წარმომადგენელი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ამოწმებს, რომ ქარტია გასაგებ ენაზეა და პაციენტების მიერ ლაპარაკად ენებზე.</w:t>
            </w:r>
          </w:p>
        </w:tc>
      </w:tr>
    </w:tbl>
    <w:bookmarkEnd w:id="26"/>
    <w:bookmarkStart w:id="27" w:name="პროცედურა"/>
    <w:p>
      <w:pPr>
        <w:pStyle w:val="Heading2"/>
      </w:pPr>
      <w:r>
        <w:t xml:space="preserve">4. პროცედურა</w:t>
      </w:r>
    </w:p>
    <w:p>
      <w:pPr>
        <w:numPr>
          <w:ilvl w:val="0"/>
          <w:numId w:val="1001"/>
        </w:numPr>
        <w:pStyle w:val="Compact"/>
      </w:pPr>
      <w:r>
        <w:t xml:space="preserve">განათავსეთ პაციენტის უფლებების ქარტია ყოველ პალატაში, რეგისტრატურასა და მოსაცდელში, პაციენტების მიერ გამოყენებულ ენებზე [EC].</w:t>
      </w:r>
    </w:p>
    <w:p>
      <w:pPr>
        <w:numPr>
          <w:ilvl w:val="0"/>
          <w:numId w:val="1001"/>
        </w:numPr>
        <w:pStyle w:val="Compact"/>
      </w:pPr>
      <w:r>
        <w:t xml:space="preserve">მიღებისას ყოველ სტაციონარულ პაციენტს მიეცით ასლი და გასაგებად აუხსენით [EC].</w:t>
      </w:r>
    </w:p>
    <w:p>
      <w:pPr>
        <w:numPr>
          <w:ilvl w:val="0"/>
          <w:numId w:val="1001"/>
        </w:numPr>
        <w:pStyle w:val="Compact"/>
      </w:pPr>
      <w:r>
        <w:t xml:space="preserve">განთავსებული ქარტია მინიმუმ ყოველთვიურად შეამოწმეთ. ფაილისთვის გადაიღეთ თარიღიანი ფოტო, სახეების გარეშე [EC].</w:t>
      </w:r>
    </w:p>
    <w:p>
      <w:pPr>
        <w:numPr>
          <w:ilvl w:val="0"/>
          <w:numId w:val="1001"/>
        </w:numPr>
        <w:pStyle w:val="Compact"/>
      </w:pPr>
      <w:r>
        <w:t xml:space="preserve">ქარტია წელიწადში ერთხელ განიხილეთ პაციენტთა საბჭოსთან ერთად [EC].</w:t>
      </w:r>
    </w:p>
    <w:bookmarkEnd w:id="27"/>
    <w:bookmarkStart w:id="28" w:name="ჩანაწერები"/>
    <w:p>
      <w:pPr>
        <w:pStyle w:val="Heading2"/>
      </w:pPr>
      <w:r>
        <w:t xml:space="preserve">5. ჩანაწერები</w:t>
      </w:r>
    </w:p>
    <w:p>
      <w:pPr>
        <w:pStyle w:val="FirstParagraph"/>
      </w:pPr>
      <w:r>
        <w:t xml:space="preserve">განთავსებული ქარტიის თარიღიანი ფოტო; მიღების ჩანაწერის შეტანა.</w:t>
      </w:r>
    </w:p>
    <w:bookmarkEnd w:id="28"/>
    <w:bookmarkStart w:id="29" w:name="მტკიცებულება"/>
    <w:p>
      <w:pPr>
        <w:pStyle w:val="Heading2"/>
      </w:pPr>
      <w:r>
        <w:t xml:space="preserve">6. მტკიცებულება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9"/>
    <w:bookmarkStart w:id="30" w:name="ცვლილებების-ისტორია"/>
    <w:p>
      <w:pPr>
        <w:pStyle w:val="Heading2"/>
      </w:pPr>
      <w:r>
        <w:t xml:space="preserve">7.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30"/>
    <w:bookmarkStart w:id="3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Patient Rights and Responsibilities</w:t>
      </w:r>
      <w:r>
        <w:t xml:space="preserve"> </w:t>
      </w:r>
      <w:r>
        <w:t xml:space="preserve">(A-01)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Medication Safety: Operating SOP-MED-01 End to End</w:t>
        </w:r>
      </w:hyperlink>
      <w:r>
        <w:t xml:space="preserve"> </w:t>
      </w:r>
      <w:r>
        <w:t xml:space="preserve">(T-08)</w:t>
      </w:r>
    </w:p>
    <w:bookmarkEnd w:id="34"/>
    <w:bookmarkStart w:id="3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7" TargetMode="External" /><Relationship Type="http://schemas.openxmlformats.org/officeDocument/2006/relationships/hyperlink" Id="rId32" Target="https://academy.gmj.ge/courses/asf-h-04-ka/" TargetMode="External" /><Relationship Type="http://schemas.openxmlformats.org/officeDocument/2006/relationships/hyperlink" Id="rId31" Target="https://academy.gmj.ge/courses/asf-t-07-en/" TargetMode="External" /><Relationship Type="http://schemas.openxmlformats.org/officeDocument/2006/relationships/hyperlink" Id="rId33" Target="https://academy.gmj.ge/courses/asf-t-08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7" TargetMode="External" /><Relationship Type="http://schemas.openxmlformats.org/officeDocument/2006/relationships/hyperlink" Id="rId32" Target="https://academy.gmj.ge/courses/asf-h-04-ka/" TargetMode="External" /><Relationship Type="http://schemas.openxmlformats.org/officeDocument/2006/relationships/hyperlink" Id="rId31" Target="https://academy.gmj.ge/courses/asf-t-07-en/" TargetMode="External" /><Relationship Type="http://schemas.openxmlformats.org/officeDocument/2006/relationships/hyperlink" Id="rId33" Target="https://academy.gmj.ge/courses/asf-t-08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CON-POL-001: პაციენტის უფლებები და ვალდებულებები</dc:title>
  <dc:creator/>
  <dc:language>ka</dc:language>
  <cp:keywords/>
  <dcterms:created xsi:type="dcterms:W3CDTF">2026-11-07T01:29:15Z</dcterms:created>
  <dcterms:modified xsi:type="dcterms:W3CDTF">2026-11-07T01:29:15Z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