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CON-POL-002: დისკრიმინაციის აკრძალვა და თანაბარი წვდომა მოვლაზე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CON-POL-002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1.5</w:t>
        </w:r>
      </w:hyperlink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 პირს შეეძლოს გადაუდებელ და რუტინულ მოვლაზე წვდომა ნებისმიერ საფუძველზე დისკრიმინაციის გარეშე, და გონივრული მორგება ხორციელდებოდეს [E-006, E-009].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p>
      <w:pPr>
        <w:pStyle w:val="FirstParagraph"/>
      </w:pPr>
      <w:r>
        <w:t xml:space="preserve">ყველა თანამშრომელი და ყველა პირი, რომელიც დაწესებულებაში მოვლას ეძებს, მათ შორის გადაუდებელი შემთხვევის მქონე პირები.</w:t>
      </w:r>
    </w:p>
    <w:bookmarkEnd w:id="25"/>
    <w:bookmarkStart w:id="26" w:name="პასუხისმგებლობები"/>
    <w:p>
      <w:pPr>
        <w:pStyle w:val="Heading2"/>
      </w:pPr>
      <w:r>
        <w:t xml:space="preserve">3.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პოლიტიკასა და მის აღსრულებას.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წარმომადგენელი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უთანასწორო წვდომის შესახებ შეტყობინებებს.</w:t>
            </w:r>
          </w:p>
        </w:tc>
      </w:tr>
    </w:tbl>
    <w:bookmarkEnd w:id="26"/>
    <w:bookmarkStart w:id="27" w:name="პროცედურა"/>
    <w:p>
      <w:pPr>
        <w:pStyle w:val="Heading2"/>
      </w:pPr>
      <w:r>
        <w:t xml:space="preserve">4. პროცედურა</w:t>
      </w:r>
    </w:p>
    <w:p>
      <w:pPr>
        <w:numPr>
          <w:ilvl w:val="0"/>
          <w:numId w:val="1001"/>
        </w:numPr>
        <w:pStyle w:val="Compact"/>
      </w:pPr>
      <w:r>
        <w:t xml:space="preserve">გადაუდებელი მოვლა არასოდეს დაგვიანდება პირის სტატუსის, ვინაობის, გადახდის უნარის ან სხვა დაცული მახასიათებლის გამო [E-009].</w:t>
      </w:r>
    </w:p>
    <w:p>
      <w:pPr>
        <w:numPr>
          <w:ilvl w:val="0"/>
          <w:numId w:val="1001"/>
        </w:numPr>
        <w:pStyle w:val="Compact"/>
      </w:pPr>
      <w:r>
        <w:t xml:space="preserve">მიღებისას ჰკითხეთ ყოველ პაციენტს, სჭირდება თუ არა გონივრული მორგება (ენა, მობილობა, სენსორული, კომუნიკაცია) [E-006].</w:t>
      </w:r>
    </w:p>
    <w:p>
      <w:pPr>
        <w:numPr>
          <w:ilvl w:val="0"/>
          <w:numId w:val="1001"/>
        </w:numPr>
        <w:pStyle w:val="Compact"/>
      </w:pPr>
      <w:r>
        <w:t xml:space="preserve">ყოველი მორგება ჩაწერეთ CON-FRM-002-ზე და გააზიარეთ გუნდთან [EC].</w:t>
      </w:r>
    </w:p>
    <w:p>
      <w:pPr>
        <w:numPr>
          <w:ilvl w:val="0"/>
          <w:numId w:val="1001"/>
        </w:numPr>
        <w:pStyle w:val="Compact"/>
      </w:pPr>
      <w:r>
        <w:t xml:space="preserve">ნებისმიერი დისკრიმინაცია მოახსენეთ INC-POL-002-ით ერთ სამუშაო დღეში [EC].</w:t>
      </w:r>
    </w:p>
    <w:bookmarkEnd w:id="27"/>
    <w:bookmarkStart w:id="28" w:name="ჩანაწერები"/>
    <w:p>
      <w:pPr>
        <w:pStyle w:val="Heading2"/>
      </w:pPr>
      <w:r>
        <w:t xml:space="preserve">5. ჩანაწერები</w:t>
      </w:r>
    </w:p>
    <w:p>
      <w:pPr>
        <w:pStyle w:val="FirstParagraph"/>
      </w:pPr>
      <w:r>
        <w:t xml:space="preserve">CON-FRM-002 გონივრული მორგების ჩანაწერი.</w:t>
      </w:r>
    </w:p>
    <w:bookmarkEnd w:id="28"/>
    <w:bookmarkStart w:id="29" w:name="მტკიცებულებები"/>
    <w:p>
      <w:pPr>
        <w:pStyle w:val="Heading2"/>
      </w:pPr>
      <w:r>
        <w:t xml:space="preserve">6.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9"/>
    <w:bookmarkStart w:id="30" w:name="ცვლილებების-ისტორია"/>
    <w:p>
      <w:pPr>
        <w:pStyle w:val="Heading2"/>
      </w:pPr>
      <w:r>
        <w:t xml:space="preserve">7.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დამტკიცებული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30"/>
    <w:bookmarkStart w:id="3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Equity, Diversity &amp; Inclusion in Healthcare</w:t>
      </w:r>
      <w:r>
        <w:t xml:space="preserve"> </w:t>
      </w:r>
      <w:r>
        <w:t xml:space="preserve">(EDI-001)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Language Access &amp; Communication Standards</w:t>
        </w:r>
      </w:hyperlink>
      <w:r>
        <w:t xml:space="preserve"> </w:t>
      </w:r>
      <w:r>
        <w:t xml:space="preserve">(LANG-001)</w:t>
      </w:r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Refugee &amp; Migrant Health Standards</w:t>
        </w:r>
      </w:hyperlink>
      <w:r>
        <w:t xml:space="preserve"> </w:t>
      </w:r>
      <w:r>
        <w:t xml:space="preserve">(REF-001)</w:t>
      </w:r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Clinical &amp; Medical Care in Long-Term Care</w:t>
        </w:r>
      </w:hyperlink>
      <w:r>
        <w:t xml:space="preserve"> </w:t>
      </w:r>
      <w:r>
        <w:t xml:space="preserve">(LTC-04)</w:t>
      </w:r>
    </w:p>
    <w:bookmarkEnd w:id="35"/>
    <w:bookmarkStart w:id="3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5" TargetMode="External" /><Relationship Type="http://schemas.openxmlformats.org/officeDocument/2006/relationships/hyperlink" Id="rId33" Target="https://academy.gmj.ge/courses/asf-h-04-ka/" TargetMode="External" /><Relationship Type="http://schemas.openxmlformats.org/officeDocument/2006/relationships/hyperlink" Id="rId31" Target="https://academy.gmj.ge/courses/asf-lang-001-en/" TargetMode="External" /><Relationship Type="http://schemas.openxmlformats.org/officeDocument/2006/relationships/hyperlink" Id="rId34" Target="https://academy.gmj.ge/courses/asf-ltc-04-en/" TargetMode="External" /><Relationship Type="http://schemas.openxmlformats.org/officeDocument/2006/relationships/hyperlink" Id="rId32" Target="https://academy.gmj.ge/courses/asf-ref-0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1-5" TargetMode="External" /><Relationship Type="http://schemas.openxmlformats.org/officeDocument/2006/relationships/hyperlink" Id="rId33" Target="https://academy.gmj.ge/courses/asf-h-04-ka/" TargetMode="External" /><Relationship Type="http://schemas.openxmlformats.org/officeDocument/2006/relationships/hyperlink" Id="rId31" Target="https://academy.gmj.ge/courses/asf-lang-001-en/" TargetMode="External" /><Relationship Type="http://schemas.openxmlformats.org/officeDocument/2006/relationships/hyperlink" Id="rId34" Target="https://academy.gmj.ge/courses/asf-ltc-04-en/" TargetMode="External" /><Relationship Type="http://schemas.openxmlformats.org/officeDocument/2006/relationships/hyperlink" Id="rId32" Target="https://academy.gmj.ge/courses/asf-ref-0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CON-POL-002: დისკრიმინაციის აკრძალვა და თანაბარი წვდომა მოვლაზე</dc:title>
  <dc:creator/>
  <cp:keywords/>
  <dcterms:created xsi:type="dcterms:W3CDTF">2026-11-07T02:04:02Z</dcterms:created>
  <dcterms:modified xsi:type="dcterms:W3CDTF">2026-11-07T02:04:02Z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