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პოლიტიკები</w:t>
        </w:r>
      </w:hyperlink>
    </w:p>
    <w:p>
      <w:pPr>
        <w:pStyle w:val="BodyText"/>
      </w:pPr>
      <w:r>
        <w:t xml:space="preserve">პოლიტიკა · CON-POL-003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2A.10</w:t>
        </w:r>
      </w:hyperlink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პაციენტთა საბჭოს შესაქმნელად, რომელიც სწავლობს მომსახურების შესახებ, წყვეტს პრიორიტეტებს და ახდენს ცვლილებებს, ოქმებით [ASF პოლიტიკა 54 ადაპტირებული, E-006].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p>
      <w:pPr>
        <w:pStyle w:val="FirstParagraph"/>
      </w:pPr>
      <w:r>
        <w:t xml:space="preserve">ობიექტის პაციენტები, მზრუნველები და საზოგადოების წარმომადგენლები.</w:t>
      </w:r>
    </w:p>
    <w:bookmarkEnd w:id="25"/>
    <w:bookmarkStart w:id="26" w:name="პასუხისმგებლობები"/>
    <w:p>
      <w:pPr>
        <w:pStyle w:val="Heading2"/>
      </w:pPr>
      <w:r>
        <w:t xml:space="preserve">3.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პაციენტის წარმომადგენელი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საბჭოს და აწარმოებს ოქმებს.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აღმასრულებელი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იღებს რეკომენდაციებს და პასუხობს მათ.</w:t>
            </w:r>
          </w:p>
        </w:tc>
      </w:tr>
    </w:tbl>
    <w:bookmarkEnd w:id="26"/>
    <w:bookmarkStart w:id="27" w:name="პროცედურა"/>
    <w:p>
      <w:pPr>
        <w:pStyle w:val="Heading2"/>
      </w:pPr>
      <w:r>
        <w:t xml:space="preserve">4. პროცედურა</w:t>
      </w:r>
    </w:p>
    <w:p>
      <w:pPr>
        <w:numPr>
          <w:ilvl w:val="0"/>
          <w:numId w:val="1001"/>
        </w:numPr>
        <w:pStyle w:val="Compact"/>
      </w:pPr>
      <w:r>
        <w:t xml:space="preserve">შეიკრიბეთ მინიმუმ ყოველ სამ თვეში [EC].</w:t>
      </w:r>
    </w:p>
    <w:p>
      <w:pPr>
        <w:numPr>
          <w:ilvl w:val="0"/>
          <w:numId w:val="1001"/>
        </w:numPr>
        <w:pStyle w:val="Compact"/>
      </w:pPr>
      <w:r>
        <w:t xml:space="preserve">წევრები არიან მომსახურებით მოსარგებლე პაციენტები ან მზრუნველები; არცერთი წევრი არ არის გადაწყვეტილების მიმღები თანამშრომელი [EC].</w:t>
      </w:r>
    </w:p>
    <w:p>
      <w:pPr>
        <w:numPr>
          <w:ilvl w:val="0"/>
          <w:numId w:val="1001"/>
        </w:numPr>
        <w:pStyle w:val="Compact"/>
      </w:pPr>
      <w:r>
        <w:t xml:space="preserve">ოქმები ანონიმიზებულია და ინახება ობიექტის ჩანაწერების პოლიტიკით დადგენილი ვადით [EC].</w:t>
      </w:r>
    </w:p>
    <w:p>
      <w:pPr>
        <w:numPr>
          <w:ilvl w:val="0"/>
          <w:numId w:val="1001"/>
        </w:numPr>
        <w:pStyle w:val="Compact"/>
      </w:pPr>
      <w:r>
        <w:t xml:space="preserve">ყოველ რეკომენდაციას წერილობით პასუხი ეცემა 30 დღეში [EC].</w:t>
      </w:r>
    </w:p>
    <w:bookmarkEnd w:id="27"/>
    <w:bookmarkStart w:id="28" w:name="ჩანაწერები"/>
    <w:p>
      <w:pPr>
        <w:pStyle w:val="Heading2"/>
      </w:pPr>
      <w:r>
        <w:t xml:space="preserve">5. ჩანაწერები</w:t>
      </w:r>
    </w:p>
    <w:p>
      <w:pPr>
        <w:pStyle w:val="FirstParagraph"/>
      </w:pPr>
      <w:r>
        <w:t xml:space="preserve">ფუნქციონირების წესები და ორი ყველაზე ახალი ოქმი (ანონიმიზებული).</w:t>
      </w:r>
    </w:p>
    <w:bookmarkEnd w:id="28"/>
    <w:bookmarkStart w:id="29" w:name="მტკიცებულებები"/>
    <w:p>
      <w:pPr>
        <w:pStyle w:val="Heading2"/>
      </w:pPr>
      <w:r>
        <w:t xml:space="preserve">6.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9"/>
    <w:bookmarkStart w:id="30" w:name="ცვლილებების-ისტორია"/>
    <w:p>
      <w:pPr>
        <w:pStyle w:val="Heading2"/>
      </w:pPr>
      <w:r>
        <w:t xml:space="preserve">7.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დამტკიცებული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დამტკიცებულია ASF ექსპერტთა კომიტეტის მიერ</w:t>
            </w:r>
          </w:p>
        </w:tc>
      </w:tr>
    </w:tbl>
    <w:bookmarkEnd w:id="30"/>
    <w:bookmarkStart w:id="32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ჩივილების დამუშავება და პაციენტის უკუკავშირი</w:t>
        </w:r>
      </w:hyperlink>
      <w:r>
        <w:t xml:space="preserve"> </w:t>
      </w:r>
      <w:r>
        <w:t xml:space="preserve">(T-12)</w:t>
      </w:r>
    </w:p>
    <w:bookmarkEnd w:id="32"/>
    <w:bookmarkStart w:id="35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33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2a-10" TargetMode="External" /><Relationship Type="http://schemas.openxmlformats.org/officeDocument/2006/relationships/hyperlink" Id="rId31" Target="https://academy.gmj.ge/courses/asf-t-12-en/" TargetMode="External" /><Relationship Type="http://schemas.openxmlformats.org/officeDocument/2006/relationships/hyperlink" Id="rId34" Target="https://france-asf.fr/wp-content/uploads/2026/10/con-pol-003-form-1.docx" TargetMode="External" /><Relationship Type="http://schemas.openxmlformats.org/officeDocument/2006/relationships/hyperlink" Id="rId33" Target="https://france-asf.fr/wp-content/uploads/2026/10/con-pol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/ka/resources/policie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1/" TargetMode="External" /><Relationship Type="http://schemas.openxmlformats.org/officeDocument/2006/relationships/hyperlink" Id="rId23" Target="/ka/standards/standard-1/#c2a-10" TargetMode="External" /><Relationship Type="http://schemas.openxmlformats.org/officeDocument/2006/relationships/hyperlink" Id="rId31" Target="https://academy.gmj.ge/courses/asf-t-12-en/" TargetMode="External" /><Relationship Type="http://schemas.openxmlformats.org/officeDocument/2006/relationships/hyperlink" Id="rId34" Target="https://france-asf.fr/wp-content/uploads/2026/10/con-pol-003-form-1.docx" TargetMode="External" /><Relationship Type="http://schemas.openxmlformats.org/officeDocument/2006/relationships/hyperlink" Id="rId33" Target="https://france-asf.fr/wp-content/uploads/2026/10/con-pol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2026-11-07T01:46:52Z</dcterms:created>
  <dcterms:modified xsi:type="dcterms:W3CDTF">2026-11-07T01:46:52Z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