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1cafe417174fa2262aa2f7dd793fc1551f3348"/>
    <w:p>
      <w:pPr>
        <w:pStyle w:val="Heading1"/>
      </w:pPr>
      <w:r>
        <w:t xml:space="preserve">CRT-REG-001: ყოველდღიური საშტატო ფარდობის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CRT-REG-001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35.2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ექთნისა და პაციენტის ფარდობას ყოველ ცვლაში, მწვავობის დონესთან შედარებით, და ნებისმიერ დეფიციტს და მის ესკალაციას.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ყოველ ცვლაში აღნუსხეთ ფარდობა, მათ შორის ღამით და შაბათ-კვირას.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ცვლის მწვავობის შემადგენლობა.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ნებისმიერი დეფიციტი, მისი ესკალაცია და გატარებული ქმედება.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ცვლა, თარიღი და მორიგე პერსონალი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პაციენტები და მწვავობის დონეები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ფარდობა დაცულია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დეფიციტი, ესკალაცია და 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Surviving Sepsis-ის და კრიტიკული მოვლის მონიტორინგის სახელმძღვანელოს, NEWS2 ადრეული გაფრთხილების ქულას (Royal College of Physicians, 2017), Lancet-ის კომისიის პალიატიური მოვლის შესახებ (2018) და WHO-ს გლობალურ სამოქმედო გეგმას პაციენტის უსაფრთხოებისთვის 2021–2030 წლებისთვის.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p>
      <w:pPr>
        <w:pStyle w:val="BodyText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ამ კრიტერიუმთან ჯერ არ არის დაკავშირებული ელექტრონული სწავლების კურსი. მისი დაფარვისთვის კურსი დაგეგმილია.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5/" TargetMode="External"/><Relationship Id="rId23" Type="http://schemas.openxmlformats.org/officeDocument/2006/relationships/hyperlink" Target="/ka/standards/standard-35/#c35-2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5/" TargetMode="External"/><Relationship Id="rId23" Type="http://schemas.openxmlformats.org/officeDocument/2006/relationships/hyperlink" Target="/ka/standards/standard-35/#c35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2026-11-07T01:11:30Z</dcterms:created>
  <dcterms:modified xsi:type="dcterms:W3CDTF">2026-11-07T01:11:30Z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