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35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CRT-SOP-002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35.3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სტრუქტურირებული ადრეული გაფრთხილების ქულა გამოიყენება გაუარესების აღმოსაჩენად.</w:t>
      </w:r>
    </w:p>
    <w:p>
      <w:pPr>
        <w:numPr>
          <w:ilvl w:val="0"/>
          <w:numId w:val="1001"/>
        </w:numPr>
        <w:pStyle w:val="Compact"/>
      </w:pPr>
      <w:r>
        <w:t xml:space="preserve">ტრიგერის ქულა იწვევს სწრაფ რეაგირებას დადგენილ ვადაში.</w:t>
      </w:r>
    </w:p>
    <w:p>
      <w:pPr>
        <w:numPr>
          <w:ilvl w:val="0"/>
          <w:numId w:val="1001"/>
        </w:numPr>
        <w:pStyle w:val="Compact"/>
      </w:pPr>
      <w:r>
        <w:t xml:space="preserve">ნებისმიერ თანამშრომელს შეუძლია გამოიძახოს სწრაფი რეაგირების გუნდი ნებართვის მოთხოვნის გარეშე.</w:t>
      </w:r>
    </w:p>
    <w:p>
      <w:pPr>
        <w:numPr>
          <w:ilvl w:val="0"/>
          <w:numId w:val="1001"/>
        </w:numPr>
        <w:pStyle w:val="Compact"/>
      </w:pPr>
      <w:r>
        <w:t xml:space="preserve">ყოველი რეაგირება და ესკალაცია აღირიცხება (HOS-FRM-002).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მიღწეულია ტრიგერის ქულა და არავინ არის გამოძახებული.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პაციენტი, რომელიც იწყებს გაუარესებას, სწრაფად ნახოს გუნდმა, რომელსაც შეუძლია მოქმედება (35.3, 35.7).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ინტენსიური მზრუნველობის პაციენტებს ხშირად აქვთ ადრეული გაფრთხილების ნიშნები საათებით ადრე, სანამ შეჩერდებიან. სტრუქტურირებული ქულების სისტემა სწრაფი რეაგირების მარშრუტით მათ დროულად იჭერს.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კრიტიკული მზრუნველობის უფროსი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ტრიგერის ზღვრებს და რეაგირების სტანდარტს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ნებისმიერი თანამშრომელი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ტრიგერის ქულისას იძახებს სწრაფი რეაგირების გუნდს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კრიტიკული მზრუნველობის უფროსი ექთანი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ქულა.</w:t>
      </w:r>
    </w:p>
    <w:p>
      <w:pPr>
        <w:numPr>
          <w:ilvl w:val="0"/>
          <w:numId w:val="1004"/>
        </w:numPr>
        <w:pStyle w:val="Compact"/>
      </w:pPr>
      <w:r>
        <w:t xml:space="preserve">აღრიცხეთ ადრეული გაფრთხილების ქულა დადგენილი სიხშირით (HOS-FRM-002).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დაქულებულია.</w:t>
      </w:r>
    </w:p>
    <w:p>
      <w:pPr>
        <w:pStyle w:val="BodyText"/>
      </w:pPr>
      <w:r>
        <w:t xml:space="preserve">ნაბიჯი 2. გამოძახება.</w:t>
      </w:r>
    </w:p>
    <w:p>
      <w:pPr>
        <w:numPr>
          <w:ilvl w:val="0"/>
          <w:numId w:val="1005"/>
        </w:numPr>
        <w:pStyle w:val="Compact"/>
      </w:pPr>
      <w:r>
        <w:t xml:space="preserve">ტრიგერის ქულისას დაუყოვნებლივ გამოიძახეთ სწრაფი რეაგირების გუნდი.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გამოძახებულია.</w:t>
      </w:r>
    </w:p>
    <w:p>
      <w:pPr>
        <w:pStyle w:val="BodyText"/>
      </w:pPr>
      <w:r>
        <w:t xml:space="preserve">ნაბიჯი 3. ჩაწერა.</w:t>
      </w:r>
    </w:p>
    <w:p>
      <w:pPr>
        <w:numPr>
          <w:ilvl w:val="0"/>
          <w:numId w:val="1006"/>
        </w:numPr>
        <w:pStyle w:val="Compact"/>
      </w:pPr>
      <w:r>
        <w:t xml:space="preserve">აღრიცხეთ რეაგირება, კლინიკოსი და შედეგი.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ჩაწერილია.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ტრიგერები დადგენილ ვადაში რეაგირებით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კრიტიკული მზრუნველობის უფროსი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კლინიკურ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HOS-SOP-002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სასიცოცხლო ნიშნები და გაუარესებაზე რეაგირება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HOS-FRM-002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დაკვირვებისა და ადრეული გაფრთხილების ცხრილი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ფორმა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სეფსისის გადარჩენის და კრიტიკული მზრუნველობის მონიტორინგის სახელმძღვანელოზე, NEWS2 ადრეული გაფრთხილების ქულაზე (Royal College of Physicians, 2017), Lancet-ის კომისიაზე პალიატიური მზრუნველობის შესახებ (2018) და WHO-ს გლობალურ სამოქმედო გეგმაზე პაციენტთა უსაფრთხოებისთვის 2021–2030.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გადაუდებელი სამედიცინო აღჭურვილობა და AED მზადყოფნა</w:t>
      </w:r>
      <w:r>
        <w:t xml:space="preserve"> </w:t>
      </w:r>
      <w:r>
        <w:t xml:space="preserve">(MED-02)</w:t>
      </w:r>
    </w:p>
    <w:bookmarkEnd w:id="44"/>
    <w:bookmarkStart w:id="47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ka/documents/hos-frm-002/" TargetMode="External" /><Relationship Type="http://schemas.openxmlformats.org/officeDocument/2006/relationships/hyperlink" Id="rId39" Target="/ka/documents/hos-sop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5/" TargetMode="External" /><Relationship Type="http://schemas.openxmlformats.org/officeDocument/2006/relationships/hyperlink" Id="rId23" Target="/ka/standards/standard-35/#c35-3" TargetMode="External" /><Relationship Type="http://schemas.openxmlformats.org/officeDocument/2006/relationships/hyperlink" Id="rId46" Target="https://france-asf.fr/wp-content/uploads/2026/10/crt-sop-002-form-1.docx" TargetMode="External" /><Relationship Type="http://schemas.openxmlformats.org/officeDocument/2006/relationships/hyperlink" Id="rId45" Target="https://france-asf.fr/wp-content/uploads/2026/10/crt-sop-002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ka/documents/hos-frm-002/" TargetMode="External" /><Relationship Type="http://schemas.openxmlformats.org/officeDocument/2006/relationships/hyperlink" Id="rId39" Target="/ka/documents/hos-sop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5/" TargetMode="External" /><Relationship Type="http://schemas.openxmlformats.org/officeDocument/2006/relationships/hyperlink" Id="rId23" Target="/ka/standards/standard-35/#c35-3" TargetMode="External" /><Relationship Type="http://schemas.openxmlformats.org/officeDocument/2006/relationships/hyperlink" Id="rId46" Target="https://france-asf.fr/wp-content/uploads/2026/10/crt-sop-002-form-1.docx" TargetMode="External" /><Relationship Type="http://schemas.openxmlformats.org/officeDocument/2006/relationships/hyperlink" Id="rId45" Target="https://france-asf.fr/wp-content/uploads/2026/10/crt-sop-002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2026-11-07T01:26:31Z</dcterms:created>
  <dcterms:modified xsi:type="dcterms:W3CDTF">2026-11-07T01:26:31Z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