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CTR-FRM-001: საკონტრასტო საშუალების წინასწარი სკრინინგისა და თანხმობის ჩანაწერი</w:t>
      </w:r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საკონტრასტო საშუალების წინასწარი სკრინინგისა და თანხმობის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CTR-FRM-001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50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CTR-FRM-001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50.4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ფიქსირებს ალერგიისა და თირკმლის ფუნქციის წინასწარ სკრინინგს და ინფორმირებულ თანხმობას კონტრასტული საშუალების შეყვანამდე.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ჰკითხეთ ალერგიისა და წინა რეაქციების შესახებ.</w:t>
      </w:r>
    </w:p>
    <w:p>
      <w:pPr>
        <w:numPr>
          <w:ilvl w:val="0"/>
          <w:numId w:val="1001"/>
        </w:numPr>
        <w:pStyle w:val="Compact"/>
      </w:pPr>
      <w:r>
        <w:t>შეამოწმეთ თირკმლის ფუნქციის შედეგი და ჩაწერეთ.</w:t>
      </w:r>
    </w:p>
    <w:p>
      <w:pPr>
        <w:numPr>
          <w:ilvl w:val="0"/>
          <w:numId w:val="1001"/>
        </w:numPr>
        <w:pStyle w:val="Compact"/>
      </w:pPr>
      <w:r>
        <w:t>ჩაწერეთ ინფორმირებული თანხმობა და ახსნილი გადაუდებელი გეგმა.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ალერგია და წინა რეაქციები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თირკმლის ფუნქციის 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ინფორმირებული თანხმობა (კი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გადაუდებელი გეგმა ახსნილია (კი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რენტგენოლოგის სახელი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0/" TargetMode="External"/><Relationship Id="rId23" Type="http://schemas.openxmlformats.org/officeDocument/2006/relationships/hyperlink" Target="/standards/standard-50/#c50-4" TargetMode="External"/><Relationship Id="rId29" Type="http://schemas.openxmlformats.org/officeDocument/2006/relationships/hyperlink" Target="https://france-asf.fr/wp-content/uploads/2026/10/ctr-frm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0/" TargetMode="External"/><Relationship Id="rId23" Type="http://schemas.openxmlformats.org/officeDocument/2006/relationships/hyperlink" Target="/standards/standard-50/#c50-4" TargetMode="External"/><Relationship Id="rId29" Type="http://schemas.openxmlformats.org/officeDocument/2006/relationships/hyperlink" Target="https://france-asf.fr/wp-content/uploads/2026/10/ctr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CTR-FRM-001: Contrast media pre-screen and consent record</dc:title>
  <dc:creator/>
  <cp:keywords/>
  <dcterms:created xsi:type="dcterms:W3CDTF">2026-10-28T21:33:00Z</dcterms:created>
  <dcterms:modified xsi:type="dcterms:W3CDTF">2026-10-28T21:33:00Z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