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DAY-POL-001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6.1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წერილობითი შერჩევის პროცესი განსაზღვრავს, რომელი პაციენტები არიან შესაფერისნი ერთდღიანი ოპერაციისთვის.</w:t>
      </w:r>
    </w:p>
    <w:p>
      <w:pPr>
        <w:numPr>
          <w:ilvl w:val="0"/>
          <w:numId w:val="1001"/>
        </w:numPr>
        <w:pStyle w:val="Compact"/>
      </w:pPr>
      <w:r>
        <w:t xml:space="preserve">კრიტერიუმები მოიცავს სამედიცინო ვარგისიანობას, სახლში მხარდაჭერას და მოვლაზე წვდომას, თუ გართულებები დაიწყება.</w:t>
      </w:r>
    </w:p>
    <w:p>
      <w:pPr>
        <w:numPr>
          <w:ilvl w:val="0"/>
          <w:numId w:val="1001"/>
        </w:numPr>
        <w:pStyle w:val="Compact"/>
      </w:pPr>
      <w:r>
        <w:t xml:space="preserve">თითოეული პაციენტი კრიტერიუმებით ოპერაციის დღემდე მოწმდება (DAY-FRM-001).</w:t>
      </w:r>
    </w:p>
    <w:p>
      <w:pPr>
        <w:numPr>
          <w:ilvl w:val="0"/>
          <w:numId w:val="1001"/>
        </w:numPr>
        <w:pStyle w:val="Compact"/>
      </w:pPr>
      <w:r>
        <w:t xml:space="preserve">პაციენტები, რომლებიც კრიტერიუმებს ვერ აკმაყოფილებენ, მიმართავენ სტაციონარული მზრუნველობისთვის.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პაციენტი ერთდღიანი ოპერაციისთვის დაჯავშნილია შერჩევის შემოწმების გარეშე, ან სახლში მხარდაჭერისა და მოვლაზე წვდომის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ერთდღიან შემთხვევებად მკურნალობდნენ მხოლოდ ის პაციენტები, რომლებსაც შეუძლიათ იმავე დღეს უსაფრთხოდ წავიდნენ სახლში (6.1).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ყოველი პაციენტი არ არის უსაფრთხო იმავე დღეს სახლში წასასვლელად. წერილობითი შერჩევის პროცესი, რომელიც თითოეულ პაციენტზე პროცედურამდე გამოიყენება, აჩერებს არამსაფერისი პაციენტების ოპერაციას იმ ერთეულში, რომელსაც მათი უსაფრთხოდ შენახვა არ შეუძლია.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წამყვანი ქირურგი და ანესთეზიოლოგი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ადგენენ და ამტკიცებენ კრიტერიუმებს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ჯავშნის კოორდინატორი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იყენებს კრიტერიუმებს ჯავშნისას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ადმინისტრაციული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ვარგისიანობის შემოწმება.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 სამედიცინო ვარგისიანობა, სახლში მხარდაჭერა და მოვლამდე მანძილი კრიტერიუმების მიხედვით (DAY-FRM-001).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წერილობითი კრიტერიუმები, არა მხოლოდ განსჯა.</w:t>
      </w:r>
    </w:p>
    <w:p>
      <w:pPr>
        <w:pStyle w:val="BodyText"/>
      </w:pPr>
      <w:r>
        <w:t xml:space="preserve">ნაბიჯი 2. გადაწყვეტა.</w:t>
      </w:r>
    </w:p>
    <w:p>
      <w:pPr>
        <w:numPr>
          <w:ilvl w:val="0"/>
          <w:numId w:val="1005"/>
        </w:numPr>
        <w:pStyle w:val="Compact"/>
      </w:pPr>
      <w:r>
        <w:t xml:space="preserve">დაადასტურეთ ერთდღიანი ჯავშანი, ან მიმართეთ სტაციონარული მზრუნველობისთვის, და ჩაწერეთ მიზეზი.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ყოველ გადაწყვეტილებას აქვს მიზეზი.</w:t>
      </w:r>
    </w:p>
    <w:p>
      <w:pPr>
        <w:pStyle w:val="BodyText"/>
      </w:pPr>
      <w:r>
        <w:t xml:space="preserve">ნაბიჯი 3. განხილვა.</w:t>
      </w:r>
    </w:p>
    <w:p>
      <w:pPr>
        <w:numPr>
          <w:ilvl w:val="0"/>
          <w:numId w:val="1006"/>
        </w:numPr>
        <w:pStyle w:val="Compact"/>
      </w:pPr>
      <w:r>
        <w:t xml:space="preserve">ყოველწლიურად განიხილეთ კრიტერიუმები შედეგებისა და დაგეგმილი არმიღებების მიხედვით (DAY-REG-002).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კრიტერიუმები ისწავლის.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ერთდღიანი შემთხვევები აღრიცხული შერჩევის შემოწმებით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წამყვანი ქირურგი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შერჩევის კრიტერიუმები განხილულია ბოლო 12 თვეში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DAY-FRM-001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იმავე დღის შერჩევის ჩამონათვალი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ჩამონათვალი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DAY-REG-002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დაუგეგმავი მიღებების განხილვის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სახელმძღვანელოზე „უსაფრთხო ქირურგია აცოცხლებს“ (2008).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ოფთალმოლოგია და ერთდღიანი ქირურგიის უსაფრთხოება</w:t>
      </w:r>
      <w:r>
        <w:t xml:space="preserve"> </w:t>
      </w:r>
      <w:r>
        <w:t xml:space="preserve">(AMB-15)</w:t>
      </w:r>
    </w:p>
    <w:p>
      <w:pPr>
        <w:numPr>
          <w:ilvl w:val="0"/>
          <w:numId w:val="1010"/>
        </w:numPr>
        <w:pStyle w:val="Compact"/>
      </w:pPr>
      <w:r>
        <w:t xml:space="preserve">გაწერის შემდგომი მზრუნველობა და მეთვალყურეობა: უსაფრთხო გაწერის სტანდარტები</w:t>
      </w:r>
      <w:r>
        <w:t xml:space="preserve"> </w:t>
      </w:r>
      <w:r>
        <w:t xml:space="preserve">(H-06)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day-frm-001/" TargetMode="External" /><Relationship Type="http://schemas.openxmlformats.org/officeDocument/2006/relationships/hyperlink" Id="rId40" Target="/ka/documents/day-reg-002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6/" TargetMode="External" /><Relationship Type="http://schemas.openxmlformats.org/officeDocument/2006/relationships/hyperlink" Id="rId23" Target="/ka/standards/standard-6/#c6-1" TargetMode="External" /><Relationship Type="http://schemas.openxmlformats.org/officeDocument/2006/relationships/hyperlink" Id="rId46" Target="https://france-asf.fr/wp-content/uploads/2026/10/day-pol-001-form-1.docx" TargetMode="External" /><Relationship Type="http://schemas.openxmlformats.org/officeDocument/2006/relationships/hyperlink" Id="rId45" Target="https://france-asf.fr/wp-content/uploads/2026/10/day-pol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day-frm-001/" TargetMode="External" /><Relationship Type="http://schemas.openxmlformats.org/officeDocument/2006/relationships/hyperlink" Id="rId40" Target="/ka/documents/day-reg-002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6/" TargetMode="External" /><Relationship Type="http://schemas.openxmlformats.org/officeDocument/2006/relationships/hyperlink" Id="rId23" Target="/ka/standards/standard-6/#c6-1" TargetMode="External" /><Relationship Type="http://schemas.openxmlformats.org/officeDocument/2006/relationships/hyperlink" Id="rId46" Target="https://france-asf.fr/wp-content/uploads/2026/10/day-pol-001-form-1.docx" TargetMode="External" /><Relationship Type="http://schemas.openxmlformats.org/officeDocument/2006/relationships/hyperlink" Id="rId45" Target="https://france-asf.fr/wp-content/uploads/2026/10/day-pol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2026-11-07T01:41:55Z</dcterms:created>
  <dcterms:modified xsi:type="dcterms:W3CDTF">2026-11-07T01:41:55Z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