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DAY-REG-002:</w:t>
      </w:r>
      <w:r>
        <w:t xml:space="preserve"> </w:t>
      </w:r>
      <w:r>
        <w:t xml:space="preserve">დაუგეგმავი</w:t>
      </w:r>
      <w:r>
        <w:t xml:space="preserve"> </w:t>
      </w:r>
      <w:r>
        <w:t xml:space="preserve">მიღებების</w:t>
      </w:r>
      <w:r>
        <w:t xml:space="preserve"> </w:t>
      </w:r>
      <w:r>
        <w:t xml:space="preserve">განხილვის</w:t>
      </w:r>
      <w:r>
        <w:t xml:space="preserve"> </w:t>
      </w:r>
      <w:r>
        <w:t xml:space="preserve">რეგისტრი</w:t>
      </w:r>
    </w:p>
    <w:bookmarkStart w:id="32" w:name="X9266aeef793e47168b818bda2f0803cacc09d0d"/>
    <w:p>
      <w:pPr>
        <w:pStyle w:val="Heading1"/>
      </w:pPr>
      <w:r>
        <w:t xml:space="preserve">DAY-REG-002: დაუგეგმავი მიღებების განხილვის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DAY-REG-002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6.7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დღის განყოფილებიდან ყოველი დაუგეგმავი მიღება, მისი მიზეზი, მოქმედება და დახურვის თარიღი.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დაუგეგმავი მიღება შეიტანეთ 24 საათში.</w:t>
      </w:r>
    </w:p>
    <w:p>
      <w:pPr>
        <w:numPr>
          <w:ilvl w:val="0"/>
          <w:numId w:val="1001"/>
        </w:numPr>
        <w:pStyle w:val="Compact"/>
      </w:pPr>
      <w:r>
        <w:t xml:space="preserve">განხილვა დაასრულეთ 7 დღეში.</w:t>
      </w:r>
    </w:p>
    <w:p>
      <w:pPr>
        <w:numPr>
          <w:ilvl w:val="0"/>
          <w:numId w:val="1001"/>
        </w:numPr>
        <w:pStyle w:val="Compact"/>
      </w:pPr>
      <w:r>
        <w:t xml:space="preserve">ყოველი მოქმედება დახურეთ შემდეგ განხილვაზე.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პაციენტის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მიღების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დაგეგმილი გაწერა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მიზეზი (შერჩევა, გართულება, ტკივილი, გულისრევა, სხვა)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დაიხურა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Incident Reporting, Just Culture and Open Disclosure</w:t>
        </w:r>
      </w:hyperlink>
      <w:r>
        <w:t xml:space="preserve"> </w:t>
      </w:r>
      <w:r>
        <w:t xml:space="preserve">(T-09)</w:t>
      </w:r>
    </w:p>
    <w:p>
      <w:pPr>
        <w:numPr>
          <w:ilvl w:val="0"/>
          <w:numId w:val="1002"/>
        </w:numPr>
        <w:pStyle w:val="Compact"/>
      </w:pPr>
      <w:r>
        <w:t xml:space="preserve">Aftercare &amp; Follow-up: Standards for Safe Discharge</w:t>
      </w:r>
      <w:r>
        <w:t xml:space="preserve"> </w:t>
      </w:r>
      <w:r>
        <w:t xml:space="preserve">(H-06)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7" TargetMode="External" /><Relationship Type="http://schemas.openxmlformats.org/officeDocument/2006/relationships/hyperlink" Id="rId29" Target="https://academy.gmj.ge/courses/asf-t-09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7" TargetMode="External" /><Relationship Type="http://schemas.openxmlformats.org/officeDocument/2006/relationships/hyperlink" Id="rId29" Target="https://academy.gmj.ge/courses/asf-t-09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DAY-REG-002: დაუგეგმავი მიღებების განხილვის რეგისტრი</dc:title>
  <dc:creator/>
  <dc:language>ka</dc:language>
  <cp:keywords/>
  <dcterms:created xsi:type="dcterms:W3CDTF">2026-11-07T01:17:00Z</dcterms:created>
  <dcterms:modified xsi:type="dcterms:W3CDTF">2026-11-07T01:17:00Z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