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DAY-SOP-001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6.3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პაციენტს აკვირდებიან აღდგენის ზონაში გადამზადებული პერსონალი.</w:t>
      </w:r>
    </w:p>
    <w:p>
      <w:pPr>
        <w:numPr>
          <w:ilvl w:val="0"/>
          <w:numId w:val="1001"/>
        </w:numPr>
        <w:pStyle w:val="Compact"/>
      </w:pPr>
      <w:r>
        <w:t xml:space="preserve">მონიტორინგი გრძელდება, სანამ წერილობითი გაწერის კრიტერიუმები არ დაკმაყოფილდება.</w:t>
      </w:r>
    </w:p>
    <w:p>
      <w:pPr>
        <w:numPr>
          <w:ilvl w:val="0"/>
          <w:numId w:val="1001"/>
        </w:numPr>
        <w:pStyle w:val="Compact"/>
      </w:pPr>
      <w:r>
        <w:t xml:space="preserve">სასიცოცხლო ნიშნები, ტკივილი, გულისრევა და ცნობიერება დადგენილ ინტერვალში აღირიცხება.</w:t>
      </w:r>
    </w:p>
    <w:p>
      <w:pPr>
        <w:numPr>
          <w:ilvl w:val="0"/>
          <w:numId w:val="1001"/>
        </w:numPr>
        <w:pStyle w:val="Compact"/>
      </w:pPr>
      <w:r>
        <w:t xml:space="preserve">პაციენტი, რომელიც კრიტერიუმებს ვერ აკმაყოფილებს, რჩება ან ჰოსპიტალიზდება.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პაციენტი გაწერილია წერილობითი გაწერის კრიტერიუმების დაკმაყოფილებამდე.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პაციენტები უსაფრთხო იყვნენ ანესთეზიის შემდგომ პირველ საათში, როცა რისკი ყველაზე მაღალია (6.3).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პაციენტები ყველაზე მეტ რისკში არიან ანესთეზიის შემდგომ პირველ საათში. აღდგენის ზონაში მონიტორინგი, სანამ წერილობითი გაწერის კრიტერიუმები დაკმაყოფილდება, არის ის, რაც გართულებას პაციენტის წასვლამდე ამოიცნობს.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აღდგენის ზონის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აკვირდება და აღრიცხავს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ექთანი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ანესთეზიოლოგი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ადგენს გაწერას ექთანთან ერთად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მონიტორინგი.</w:t>
      </w:r>
    </w:p>
    <w:p>
      <w:pPr>
        <w:numPr>
          <w:ilvl w:val="0"/>
          <w:numId w:val="1004"/>
        </w:numPr>
        <w:pStyle w:val="Compact"/>
      </w:pPr>
      <w:r>
        <w:t xml:space="preserve">აღრიცხეთ დაკვირვებები დადგენილი ინტერვალით (DAY-FRM-003) აღდგენის ზონაში მისვლიდან.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მისვლიდან, არა უფრო გვიან.</w:t>
      </w:r>
    </w:p>
    <w:p>
      <w:pPr>
        <w:pStyle w:val="BodyText"/>
      </w:pPr>
      <w:r>
        <w:t xml:space="preserve">ნაბიჯი 2. გაწერის შეფასება.</w:t>
      </w:r>
    </w:p>
    <w:p>
      <w:pPr>
        <w:numPr>
          <w:ilvl w:val="0"/>
          <w:numId w:val="1005"/>
        </w:numPr>
        <w:pStyle w:val="Compact"/>
      </w:pPr>
      <w:r>
        <w:t xml:space="preserve">შეამოწმეთ თითოეული გაწერის კრიტერიუმი, სანამ პაციენტს აღდგენის ზონიდან გადაიყვანენ.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კრიტერიუმები დაკმაყოფილებულია, არა ვარაუდით.</w:t>
      </w:r>
    </w:p>
    <w:p>
      <w:pPr>
        <w:pStyle w:val="BodyText"/>
      </w:pPr>
      <w:r>
        <w:t xml:space="preserve">ნაბიჯი 3. ესკალაცია.</w:t>
      </w:r>
    </w:p>
    <w:p>
      <w:pPr>
        <w:numPr>
          <w:ilvl w:val="0"/>
          <w:numId w:val="1006"/>
        </w:numPr>
        <w:pStyle w:val="Compact"/>
      </w:pPr>
      <w:r>
        <w:t xml:space="preserve">თუ კრიტერიუმი არ არის დაკმაყოფილებული, დატოვეთ პაციენტი და აცნობეთ ანესთეზიოლოგს.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არ არის დაკმაყოფილებული, არ გაიწეროს.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პაციენტები, რომლებიც დადგენილ ინტერვალამდე იყვნენ მონიტორინგზე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წამყვანი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გაწერები, სადაც ყველა კრიტერიუმი დაკმაყოფილებულად არის აღრიცხული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წამყვანი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DAY-FRM-003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აღდგენის დაკვირვებისა და გაწერის კრიტერიუმების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ASA-ს სტანდარტებზე ძირითადი ანესთეზიის მონიტორინგისთვის (2020) ანესთეზიის შემდგომი მზრუნველობისთვის.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გაწერის შემდგომი მზრუნველობა და მეთვალყურეობა: უსაფრთხო გაწერის სტანდარტები</w:t>
      </w:r>
      <w:r>
        <w:t xml:space="preserve"> </w:t>
      </w:r>
      <w:r>
        <w:t xml:space="preserve">(H-06)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სამედიცინო გადაუდებელი პროტოკოლის შემუშავება</w:t>
        </w:r>
      </w:hyperlink>
      <w:r>
        <w:t xml:space="preserve"> </w:t>
      </w:r>
      <w:r>
        <w:t xml:space="preserve">(MED-01)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day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6/" TargetMode="External" /><Relationship Type="http://schemas.openxmlformats.org/officeDocument/2006/relationships/hyperlink" Id="rId23" Target="/ka/standards/standard-6/#c6-3" TargetMode="External" /><Relationship Type="http://schemas.openxmlformats.org/officeDocument/2006/relationships/hyperlink" Id="rId43" Target="https://academy.gmj.ge/courses/asf-med-01-en/" TargetMode="External" /><Relationship Type="http://schemas.openxmlformats.org/officeDocument/2006/relationships/hyperlink" Id="rId46" Target="https://france-asf.fr/wp-content/uploads/2026/10/day-sop-001-form-1.docx" TargetMode="External" /><Relationship Type="http://schemas.openxmlformats.org/officeDocument/2006/relationships/hyperlink" Id="rId45" Target="https://france-asf.fr/wp-content/uploads/2026/10/day-sop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day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6/" TargetMode="External" /><Relationship Type="http://schemas.openxmlformats.org/officeDocument/2006/relationships/hyperlink" Id="rId23" Target="/ka/standards/standard-6/#c6-3" TargetMode="External" /><Relationship Type="http://schemas.openxmlformats.org/officeDocument/2006/relationships/hyperlink" Id="rId43" Target="https://academy.gmj.ge/courses/asf-med-01-en/" TargetMode="External" /><Relationship Type="http://schemas.openxmlformats.org/officeDocument/2006/relationships/hyperlink" Id="rId46" Target="https://france-asf.fr/wp-content/uploads/2026/10/day-sop-001-form-1.docx" TargetMode="External" /><Relationship Type="http://schemas.openxmlformats.org/officeDocument/2006/relationships/hyperlink" Id="rId45" Target="https://france-asf.fr/wp-content/uploads/2026/10/day-sop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2026-11-07T01:41:43Z</dcterms:created>
  <dcterms:modified xsi:type="dcterms:W3CDTF">2026-11-07T01:41:43Z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