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DAY-SOP-002: საჩერებლობის (სედაციის) და ანესთეზიის დონე და გართულებებზე რეაგირება</w:t>
      </w:r>
    </w:p>
    <w:p>
      <w:pPr>
        <w:pStyle w:val="FirstParagraph"/>
      </w:pPr>
      <w:hyperlink r:id="rId20">
        <w:r>
          <w:rPr>
            <w:rStyle w:val="Hyperlink"/>
          </w:rPr>
          <w:t xml:space="preserve">სტანდარტები</w:t>
        </w:r>
      </w:hyperlink>
      <w:r>
        <w:t xml:space="preserve"> </w:t>
      </w:r>
      <w:r>
        <w:t xml:space="preserve">›</w:t>
      </w:r>
      <w:r>
        <w:t xml:space="preserve"> </w:t>
      </w:r>
      <w:hyperlink r:id="rId21">
        <w:r>
          <w:rPr>
            <w:rStyle w:val="Hyperlink"/>
          </w:rPr>
          <w:t xml:space="preserve">სტანდარტი 6</w:t>
        </w:r>
      </w:hyperlink>
      <w:r>
        <w:t xml:space="preserve"> </w:t>
      </w:r>
      <w:r>
        <w:t xml:space="preserve">›</w:t>
      </w:r>
      <w:r>
        <w:t xml:space="preserve"> </w:t>
      </w:r>
      <w:hyperlink r:id="rId22">
        <w:r>
          <w:rPr>
            <w:rStyle w:val="Hyperlink"/>
          </w:rPr>
          <w:t xml:space="preserve">სტანდარტული ოპერაციული პროცედურები (SOP)</w:t>
        </w:r>
      </w:hyperlink>
    </w:p>
    <w:p>
      <w:pPr>
        <w:pStyle w:val="BodyText"/>
      </w:pPr>
      <w:r>
        <w:t xml:space="preserve">სტანდარტული საოპერაციო პროცედურა (SOP) · DAY-SOP-002 · ვერსია 1.0 · დამტკიცებულია ASF ექსპერტთა კომიტეტის მიერ</w:t>
      </w:r>
    </w:p>
    <w:p>
      <w:pPr>
        <w:pStyle w:val="BodyText"/>
      </w:pPr>
      <w:r>
        <w:rPr>
          <w:bCs/>
          <w:b/>
        </w:rPr>
        <w:t xml:space="preserve">დაკავშირებულია:</w:t>
      </w:r>
      <w:r>
        <w:t xml:space="preserve"> </w:t>
      </w:r>
      <w:hyperlink r:id="rId23">
        <w:r>
          <w:rPr>
            <w:rStyle w:val="Hyperlink"/>
          </w:rPr>
          <w:t xml:space="preserve">6.2</w:t>
        </w:r>
      </w:hyperlink>
    </w:p>
    <w:p>
      <w:pPr>
        <w:pStyle w:val="BodyText"/>
      </w:pPr>
      <w:r>
        <w:t xml:space="preserve">მოკლედ</w:t>
      </w:r>
    </w:p>
    <w:p>
      <w:pPr>
        <w:numPr>
          <w:ilvl w:val="0"/>
          <w:numId w:val="1001"/>
        </w:numPr>
        <w:pStyle w:val="Compact"/>
      </w:pPr>
      <w:r>
        <w:t xml:space="preserve">სედაციას და ანესთეზიას ატარებს მხოლოდ პერსონალი, რომელიც გაწვრთნილია და სერტიფიცირებულია მოცემული დონისთვის.</w:t>
      </w:r>
    </w:p>
    <w:p>
      <w:pPr>
        <w:numPr>
          <w:ilvl w:val="0"/>
          <w:numId w:val="1001"/>
        </w:numPr>
        <w:pStyle w:val="Compact"/>
      </w:pPr>
      <w:r>
        <w:t xml:space="preserve">მონიტორინგი შეესაბამება დონეს.</w:t>
      </w:r>
    </w:p>
    <w:p>
      <w:pPr>
        <w:numPr>
          <w:ilvl w:val="0"/>
          <w:numId w:val="1001"/>
        </w:numPr>
        <w:pStyle w:val="Compact"/>
      </w:pPr>
      <w:r>
        <w:t xml:space="preserve">ყოველ გართულებაზე წერილობითი რეაგირება არსებობს და ვარჯიშდება.</w:t>
      </w:r>
    </w:p>
    <w:p>
      <w:pPr>
        <w:numPr>
          <w:ilvl w:val="0"/>
          <w:numId w:val="1001"/>
        </w:numPr>
        <w:pStyle w:val="Compact"/>
      </w:pPr>
      <w:r>
        <w:t xml:space="preserve">თითოეული სერტიფიკატი მოწმდება, სანამ თანამშრომელი სედაციას ჩაატარებს.</w:t>
      </w:r>
    </w:p>
    <w:p>
      <w:pPr>
        <w:numPr>
          <w:ilvl w:val="0"/>
          <w:numId w:val="1001"/>
        </w:numPr>
        <w:pStyle w:val="Compact"/>
      </w:pPr>
      <w:r>
        <w:t xml:space="preserve">გაჩერდით და მაშინვე მოითხოვეთ დახმარება, თუ: სედაციას ან ანესთეზიას ატარებს თანამშრომელი, რომელსაც ამ დონის სერტიფიკატი არ აქვს.</w:t>
      </w:r>
    </w:p>
    <w:bookmarkStart w:id="24" w:name="მიზანი"/>
    <w:p>
      <w:pPr>
        <w:pStyle w:val="Heading2"/>
      </w:pPr>
      <w:r>
        <w:t xml:space="preserve">1. მიზანი</w:t>
      </w:r>
    </w:p>
    <w:p>
      <w:pPr>
        <w:pStyle w:val="FirstParagraph"/>
      </w:pPr>
      <w:r>
        <w:t xml:space="preserve">სედაციის დონის შესაბამისობაში მოსაყვანად პერსონალთან, მონიტორინგთან და ხელმისაწვდომ რეაგირებასთან (6.2).</w:t>
      </w:r>
    </w:p>
    <w:bookmarkEnd w:id="24"/>
    <w:bookmarkStart w:id="25" w:name="სფერო"/>
    <w:p>
      <w:pPr>
        <w:pStyle w:val="Heading2"/>
      </w:pPr>
      <w:r>
        <w:t xml:space="preserve">2. სფერო</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t xml:space="preserve">ვრცელდება</w:t>
            </w:r>
          </w:p>
        </w:tc>
        <w:tc>
          <w:tcPr/>
          <w:p>
            <w:pPr>
              <w:pStyle w:val="Compact"/>
              <w:jc w:val="left"/>
            </w:pPr>
            <w:r>
              <w:t xml:space="preserve">საავადმყოფოს კლინიკური და დამხმარე პერსონალი</w:t>
            </w:r>
          </w:p>
        </w:tc>
      </w:tr>
      <w:tr>
        <w:tc>
          <w:tcPr/>
          <w:p>
            <w:pPr>
              <w:pStyle w:val="Compact"/>
              <w:jc w:val="left"/>
            </w:pPr>
            <w:r>
              <w:t xml:space="preserve">ადგილმდებარეობა</w:t>
            </w:r>
          </w:p>
        </w:tc>
        <w:tc>
          <w:tcPr/>
          <w:p>
            <w:pPr>
              <w:pStyle w:val="Compact"/>
              <w:jc w:val="left"/>
            </w:pPr>
            <w:r>
              <w:t xml:space="preserve">დაწესებულების ყველა განყოფილება, კლინიკა და დეპარტამენტი</w:t>
            </w:r>
          </w:p>
        </w:tc>
      </w:tr>
      <w:tr>
        <w:tc>
          <w:tcPr/>
          <w:p>
            <w:pPr>
              <w:pStyle w:val="Compact"/>
              <w:jc w:val="left"/>
            </w:pPr>
            <w:r>
              <w:t xml:space="preserve">როდის</w:t>
            </w:r>
          </w:p>
        </w:tc>
        <w:tc>
          <w:tcPr/>
          <w:p>
            <w:pPr>
              <w:pStyle w:val="Compact"/>
              <w:jc w:val="left"/>
            </w:pPr>
            <w:r>
              <w:t xml:space="preserve">ყოველ შემთხვევაში, როცა აღწერილი საქმიანობა სრულდება</w:t>
            </w:r>
          </w:p>
        </w:tc>
      </w:tr>
      <w:tr>
        <w:tc>
          <w:tcPr/>
          <w:p>
            <w:pPr>
              <w:pStyle w:val="Compact"/>
              <w:jc w:val="left"/>
            </w:pPr>
            <w:r>
              <w:t xml:space="preserve">არ ვრცელდება</w:t>
            </w:r>
          </w:p>
        </w:tc>
        <w:tc>
          <w:tcPr/>
          <w:p>
            <w:pPr>
              <w:pStyle w:val="Compact"/>
              <w:jc w:val="left"/>
            </w:pPr>
            <w:r>
              <w:t xml:space="preserve">საქმიანობა, რომელსაც მოიცავს სხვა დოკუმენტი, ჩამოთვლილი განყოფილება 15-ში</w:t>
            </w:r>
          </w:p>
        </w:tc>
      </w:tr>
    </w:tbl>
    <w:bookmarkEnd w:id="25"/>
    <w:bookmarkStart w:id="26" w:name="განმარტებები"/>
    <w:p>
      <w:pPr>
        <w:pStyle w:val="Heading2"/>
      </w:pPr>
      <w:r>
        <w:t xml:space="preserve">3. განმარტებები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ტერმინი</w:t>
            </w:r>
          </w:p>
        </w:tc>
        <w:tc>
          <w:tcPr/>
          <w:p>
            <w:pPr>
              <w:pStyle w:val="Compact"/>
              <w:jc w:val="left"/>
            </w:pPr>
            <w:r>
              <w:t xml:space="preserve">მნიშვნელობა</w:t>
            </w:r>
          </w:p>
        </w:tc>
      </w:tr>
      <w:tr>
        <w:tc>
          <w:tcPr/>
          <w:p>
            <w:pPr>
              <w:pStyle w:val="Compact"/>
              <w:jc w:val="left"/>
            </w:pPr>
            <w:r>
              <w:t xml:space="preserve">კლინიკური ლიდერი</w:t>
            </w:r>
          </w:p>
        </w:tc>
        <w:tc>
          <w:tcPr/>
          <w:p>
            <w:pPr>
              <w:pStyle w:val="Compact"/>
              <w:jc w:val="left"/>
            </w:pPr>
            <w:r>
              <w:t xml:space="preserve">იმ დროს სამსახურის ზედამხედველი ექიმი ან ექთანი</w:t>
            </w:r>
          </w:p>
        </w:tc>
      </w:tr>
    </w:tbl>
    <w:bookmarkEnd w:id="26"/>
    <w:bookmarkStart w:id="27" w:name="ფონი"/>
    <w:p>
      <w:pPr>
        <w:pStyle w:val="Heading2"/>
      </w:pPr>
      <w:r>
        <w:t xml:space="preserve">4. ფონი</w:t>
      </w:r>
    </w:p>
    <w:p>
      <w:pPr>
        <w:pStyle w:val="FirstParagraph"/>
      </w:pPr>
      <w:r>
        <w:t xml:space="preserve">ანესთეზიასა და სედაციას სერიოზული რისკი ახლავს, და მოვლის დონე იმაზეა დამოკიდებული, ვინ ატარებს მათ. თითოეული თანამშრომელი უნდა იყოს გაწვრთნილი და სერტიფიცირებული იმ დონისთვის, რომელსაც ატარებს, და თითოეული პაციენტი მთელი პროცედურის განმავლობაში უნდა იყოს მონიტორინგზე.</w:t>
      </w:r>
    </w:p>
    <w:bookmarkEnd w:id="27"/>
    <w:bookmarkStart w:id="28" w:name="პასუხისმგებლობები"/>
    <w:p>
      <w:pPr>
        <w:pStyle w:val="Heading2"/>
      </w:pPr>
      <w:r>
        <w:t xml:space="preserve">5. პასუხისმგებლობები</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როლი</w:t>
            </w:r>
          </w:p>
        </w:tc>
        <w:tc>
          <w:tcPr/>
          <w:p>
            <w:pPr>
              <w:pStyle w:val="Compact"/>
              <w:jc w:val="left"/>
            </w:pPr>
            <w:r>
              <w:t xml:space="preserve">პასუხისმგებლობა</w:t>
            </w:r>
          </w:p>
        </w:tc>
        <w:tc>
          <w:tcPr/>
          <w:p>
            <w:pPr>
              <w:pStyle w:val="Compact"/>
              <w:jc w:val="left"/>
            </w:pPr>
            <w:r>
              <w:t xml:space="preserve">კომპეტენცია</w:t>
            </w:r>
          </w:p>
        </w:tc>
      </w:tr>
      <w:tr>
        <w:tc>
          <w:tcPr/>
          <w:p>
            <w:pPr>
              <w:pStyle w:val="Compact"/>
              <w:jc w:val="left"/>
            </w:pPr>
            <w:r>
              <w:t xml:space="preserve">უფროსი ანესთეზიოლოგი</w:t>
            </w:r>
          </w:p>
        </w:tc>
        <w:tc>
          <w:tcPr/>
          <w:p>
            <w:pPr>
              <w:pStyle w:val="Compact"/>
              <w:jc w:val="left"/>
            </w:pPr>
            <w:r>
              <w:t xml:space="preserve">განსაზღვრავს დონეებსა და რეაგირებას</w:t>
            </w:r>
          </w:p>
        </w:tc>
        <w:tc>
          <w:tcPr/>
          <w:p>
            <w:pPr>
              <w:pStyle w:val="Compact"/>
              <w:jc w:val="left"/>
            </w:pPr>
            <w:r>
              <w:t xml:space="preserve">ანესთეზიოლოგი</w:t>
            </w:r>
          </w:p>
        </w:tc>
      </w:tr>
      <w:tr>
        <w:tc>
          <w:tcPr/>
          <w:p>
            <w:pPr>
              <w:pStyle w:val="Compact"/>
              <w:jc w:val="left"/>
            </w:pPr>
            <w:r>
              <w:t xml:space="preserve">სერტიფიცირების ხელმძღვანელი</w:t>
            </w:r>
          </w:p>
        </w:tc>
        <w:tc>
          <w:tcPr/>
          <w:p>
            <w:pPr>
              <w:pStyle w:val="Compact"/>
              <w:jc w:val="left"/>
            </w:pPr>
            <w:r>
              <w:t xml:space="preserve">ამოწმებს ყოველ სერტიფიკატს (DAY-REG-001)</w:t>
            </w:r>
          </w:p>
        </w:tc>
        <w:tc>
          <w:tcPr/>
          <w:p>
            <w:pPr>
              <w:pStyle w:val="Compact"/>
              <w:jc w:val="left"/>
            </w:pPr>
            <w:r>
              <w:t xml:space="preserve">მენეჯმენტი</w:t>
            </w:r>
          </w:p>
        </w:tc>
      </w:tr>
    </w:tbl>
    <w:bookmarkEnd w:id="28"/>
    <w:bookmarkStart w:id="29" w:name="მასალები-და-აღჭურვილობა"/>
    <w:p>
      <w:pPr>
        <w:pStyle w:val="Heading2"/>
      </w:pPr>
      <w:r>
        <w:t xml:space="preserve">6. მასალები და აღჭურვილობა</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ნივთი</w:t>
            </w:r>
          </w:p>
        </w:tc>
        <w:tc>
          <w:tcPr/>
          <w:p>
            <w:pPr>
              <w:pStyle w:val="Compact"/>
              <w:jc w:val="left"/>
            </w:pPr>
            <w:r>
              <w:t xml:space="preserve">მოთხოვნა</w:t>
            </w:r>
          </w:p>
        </w:tc>
        <w:tc>
          <w:tcPr/>
          <w:p>
            <w:pPr>
              <w:pStyle w:val="Compact"/>
              <w:jc w:val="left"/>
            </w:pPr>
            <w:r>
              <w:t xml:space="preserve">მდგომარეობა</w:t>
            </w:r>
          </w:p>
        </w:tc>
      </w:tr>
      <w:tr>
        <w:tc>
          <w:tcPr/>
          <w:p>
            <w:pPr>
              <w:pStyle w:val="Compact"/>
              <w:jc w:val="left"/>
            </w:pPr>
            <w:r>
              <w:t xml:space="preserve">ამ დოკუმენტში მითითებული ჩანაწერები და ფორმები</w:t>
            </w:r>
          </w:p>
        </w:tc>
        <w:tc>
          <w:tcPr/>
          <w:p>
            <w:pPr>
              <w:pStyle w:val="Compact"/>
              <w:jc w:val="left"/>
            </w:pPr>
            <w:r>
              <w:t xml:space="preserve">მიმდინარე ვერსია</w:t>
            </w:r>
          </w:p>
        </w:tc>
        <w:tc>
          <w:tcPr/>
          <w:p>
            <w:pPr>
              <w:pStyle w:val="Compact"/>
              <w:jc w:val="left"/>
            </w:pPr>
            <w:r>
              <w:t xml:space="preserve">გამოყენებამდე შემოწმებული</w:t>
            </w:r>
          </w:p>
        </w:tc>
      </w:tr>
    </w:tbl>
    <w:bookmarkEnd w:id="29"/>
    <w:bookmarkStart w:id="30" w:name="უსაფრთხოება"/>
    <w:p>
      <w:pPr>
        <w:pStyle w:val="Heading2"/>
      </w:pPr>
      <w:r>
        <w:t xml:space="preserve">7. უსაფრთხოება</w:t>
      </w:r>
    </w:p>
    <w:p>
      <w:pPr>
        <w:numPr>
          <w:ilvl w:val="0"/>
          <w:numId w:val="1002"/>
        </w:numPr>
        <w:pStyle w:val="Compact"/>
      </w:pPr>
      <w:r>
        <w:t xml:space="preserve">თუ პაციენტს უშუალო რისკი ემუქრება, შეწყვიტეთ და გამოიძახეთ დახმარება. არ დააყოვნოთ გადაუდებელი მკურნალობა საბუთების შევსების გამო.</w:t>
      </w:r>
    </w:p>
    <w:bookmarkEnd w:id="30"/>
    <w:bookmarkStart w:id="31" w:name="დაწყებამდე"/>
    <w:p>
      <w:pPr>
        <w:pStyle w:val="Heading2"/>
      </w:pPr>
      <w:r>
        <w:t xml:space="preserve">8. დაწყებამდე</w:t>
      </w:r>
    </w:p>
    <w:p>
      <w:pPr>
        <w:numPr>
          <w:ilvl w:val="0"/>
          <w:numId w:val="1003"/>
        </w:numPr>
        <w:pStyle w:val="Compact"/>
      </w:pPr>
      <w:r>
        <w:t xml:space="preserve">დაადასტურეთ, რომ ამ დოკუმენტში მითითებული ფორმები და აღჭურვილობა ხელმისაწვდომია და აქტუალურია.</w:t>
      </w:r>
    </w:p>
    <w:bookmarkEnd w:id="31"/>
    <w:bookmarkStart w:id="32" w:name="პროცედურა"/>
    <w:p>
      <w:pPr>
        <w:pStyle w:val="Heading2"/>
      </w:pPr>
      <w:r>
        <w:t xml:space="preserve">9. პროცედურა</w:t>
      </w:r>
    </w:p>
    <w:p>
      <w:pPr>
        <w:pStyle w:val="FirstParagraph"/>
      </w:pPr>
      <w:r>
        <w:t xml:space="preserve">ნაბიჯი 1. შესაბამისობა.</w:t>
      </w:r>
    </w:p>
    <w:p>
      <w:pPr>
        <w:numPr>
          <w:ilvl w:val="0"/>
          <w:numId w:val="1004"/>
        </w:numPr>
        <w:pStyle w:val="Compact"/>
      </w:pPr>
      <w:r>
        <w:t xml:space="preserve">შეამოწმეთ, რომ თანამშრომლის სერტიფიკატი შეესაბამება დაგეგმილ სედაციის დონეს.</w:t>
      </w:r>
    </w:p>
    <w:p>
      <w:pPr>
        <w:pStyle w:val="FirstParagraph"/>
      </w:pPr>
      <w:r>
        <w:rPr>
          <w:bCs/>
          <w:b/>
        </w:rPr>
        <w:t xml:space="preserve">მთავარი პუნქტი:</w:t>
      </w:r>
      <w:r>
        <w:t xml:space="preserve"> </w:t>
      </w:r>
      <w:r>
        <w:t xml:space="preserve">სერტიფიკატი შეესაბამება დონეს.</w:t>
      </w:r>
    </w:p>
    <w:p>
      <w:pPr>
        <w:pStyle w:val="BodyText"/>
      </w:pPr>
      <w:r>
        <w:t xml:space="preserve">ნაბიჯი 2. მონიტორინგი.</w:t>
      </w:r>
    </w:p>
    <w:p>
      <w:pPr>
        <w:numPr>
          <w:ilvl w:val="0"/>
          <w:numId w:val="1005"/>
        </w:numPr>
        <w:pStyle w:val="Compact"/>
      </w:pPr>
      <w:r>
        <w:t xml:space="preserve">მონიტორინგი სედაციისთვის დაწესებულ დონეზე (SRG-POL-002).</w:t>
      </w:r>
    </w:p>
    <w:p>
      <w:pPr>
        <w:pStyle w:val="FirstParagraph"/>
      </w:pPr>
      <w:r>
        <w:rPr>
          <w:bCs/>
          <w:b/>
        </w:rPr>
        <w:t xml:space="preserve">მთავარი პუნქტი:</w:t>
      </w:r>
      <w:r>
        <w:t xml:space="preserve"> </w:t>
      </w:r>
      <w:r>
        <w:t xml:space="preserve">მონიტორინგი შეესაბამება დონეს.</w:t>
      </w:r>
    </w:p>
    <w:p>
      <w:pPr>
        <w:pStyle w:val="BodyText"/>
      </w:pPr>
      <w:r>
        <w:t xml:space="preserve">ეტაპი 3. რეაგირება.</w:t>
      </w:r>
    </w:p>
    <w:p>
      <w:pPr>
        <w:numPr>
          <w:ilvl w:val="0"/>
          <w:numId w:val="1006"/>
        </w:numPr>
        <w:pStyle w:val="Compact"/>
      </w:pPr>
      <w:r>
        <w:t xml:space="preserve">თუ გართულება მოხდა, მიჰყევით წერილობით რეაგირებას და მოითხოვეთ დახმარება, როგორც გეგმა ითვალისწინებს.</w:t>
      </w:r>
    </w:p>
    <w:p>
      <w:pPr>
        <w:pStyle w:val="FirstParagraph"/>
      </w:pPr>
      <w:r>
        <w:rPr>
          <w:bCs/>
          <w:b/>
        </w:rPr>
        <w:t xml:space="preserve">მთავარი პუნქტი:</w:t>
      </w:r>
      <w:r>
        <w:t xml:space="preserve"> </w:t>
      </w:r>
      <w:r>
        <w:t xml:space="preserve">რეაგირება წერილობითია.</w:t>
      </w:r>
    </w:p>
    <w:bookmarkEnd w:id="32"/>
    <w:bookmarkStart w:id="33" w:name="გადაწყვეტილების-წერტილები"/>
    <w:p>
      <w:pPr>
        <w:pStyle w:val="Heading2"/>
      </w:pPr>
      <w:r>
        <w:t xml:space="preserve">10. გადაწყვეტილების წერტილები</w:t>
      </w:r>
    </w:p>
    <w:p>
      <w:pPr>
        <w:numPr>
          <w:ilvl w:val="0"/>
          <w:numId w:val="1007"/>
        </w:numPr>
        <w:pStyle w:val="Compact"/>
      </w:pPr>
      <w:r>
        <w:t xml:space="preserve">ამ პროცედურაში გადაწყვეტილების წერტილები არ არის.</w:t>
      </w:r>
    </w:p>
    <w:bookmarkEnd w:id="33"/>
    <w:bookmarkStart w:id="34" w:name="განსაკუთრებული-სიტუაციები"/>
    <w:p>
      <w:pPr>
        <w:pStyle w:val="Heading2"/>
      </w:pPr>
      <w:r>
        <w:t xml:space="preserve">11. განსაკუთრებული სიტუაციები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სიტუაცია</w:t>
            </w:r>
          </w:p>
        </w:tc>
        <w:tc>
          <w:tcPr/>
          <w:p>
            <w:pPr>
              <w:pStyle w:val="Compact"/>
              <w:jc w:val="left"/>
            </w:pPr>
            <w:r>
              <w:t xml:space="preserve">მოქმედება</w:t>
            </w:r>
          </w:p>
        </w:tc>
      </w:tr>
      <w:tr>
        <w:tc>
          <w:tcPr/>
          <w:p>
            <w:pPr>
              <w:pStyle w:val="Compact"/>
              <w:jc w:val="left"/>
            </w:pPr>
            <w:r>
              <w:t xml:space="preserve">არასამუშაო საათები</w:t>
            </w:r>
          </w:p>
        </w:tc>
        <w:tc>
          <w:tcPr/>
          <w:p>
            <w:pPr>
              <w:pStyle w:val="Compact"/>
              <w:jc w:val="left"/>
            </w:pPr>
            <w:r>
              <w:t xml:space="preserve">მიჰყევით იმავე ეტაპებს. გამოიყენეთ სამსახურის კედელზე მითითებული მორიგე კონტაქტი.</w:t>
            </w:r>
          </w:p>
        </w:tc>
      </w:tr>
    </w:tbl>
    <w:bookmarkEnd w:id="34"/>
    <w:bookmarkStart w:id="35" w:name="ესკალაცია"/>
    <w:p>
      <w:pPr>
        <w:pStyle w:val="Heading2"/>
      </w:pPr>
      <w:r>
        <w:t xml:space="preserve">12. ესკალაცია</w:t>
      </w:r>
    </w:p>
    <w:p>
      <w:pPr>
        <w:numPr>
          <w:ilvl w:val="0"/>
          <w:numId w:val="1008"/>
        </w:numPr>
        <w:pStyle w:val="Compact"/>
      </w:pPr>
      <w:r>
        <w:t xml:space="preserve">ნებისმიერი სერიოზული პრობლემა დაუყოვნებლივ მიეწოდება მორიგე კლინიკურ ლიდერს, ხოლო იმავე დღეს – კლინიკურ დირექტორს.</w:t>
      </w:r>
    </w:p>
    <w:bookmarkEnd w:id="35"/>
    <w:bookmarkStart w:id="36" w:name="მონიტორინგი"/>
    <w:p>
      <w:pPr>
        <w:pStyle w:val="Heading2"/>
      </w:pPr>
      <w:r>
        <w:t xml:space="preserve">13. მონიტორინგი</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მაჩვენებელი</w:t>
            </w:r>
          </w:p>
        </w:tc>
        <w:tc>
          <w:tcPr/>
          <w:p>
            <w:pPr>
              <w:pStyle w:val="Compact"/>
              <w:jc w:val="left"/>
            </w:pPr>
            <w:r>
              <w:t xml:space="preserve">მიზანი</w:t>
            </w:r>
          </w:p>
        </w:tc>
        <w:tc>
          <w:tcPr/>
          <w:p>
            <w:pPr>
              <w:pStyle w:val="Compact"/>
              <w:jc w:val="left"/>
            </w:pPr>
            <w:r>
              <w:t xml:space="preserve">სიხშირე</w:t>
            </w:r>
          </w:p>
        </w:tc>
        <w:tc>
          <w:tcPr/>
          <w:p>
            <w:pPr>
              <w:pStyle w:val="Compact"/>
              <w:jc w:val="left"/>
            </w:pPr>
            <w:r>
              <w:t xml:space="preserve">პასუხისმგებელი</w:t>
            </w:r>
          </w:p>
        </w:tc>
        <w:tc>
          <w:tcPr/>
          <w:p>
            <w:pPr>
              <w:pStyle w:val="Compact"/>
              <w:jc w:val="left"/>
            </w:pPr>
            <w:r>
              <w:t xml:space="preserve">თუ არ შესრულდა</w:t>
            </w:r>
          </w:p>
        </w:tc>
      </w:tr>
      <w:tr>
        <w:tc>
          <w:tcPr/>
          <w:p>
            <w:pPr>
              <w:pStyle w:val="Compact"/>
              <w:jc w:val="left"/>
            </w:pPr>
            <w:r>
              <w:t xml:space="preserve">სედაცია, ჩატარებული სერტიფიცირებული პერსონალის მიერ</w:t>
            </w:r>
          </w:p>
        </w:tc>
        <w:tc>
          <w:tcPr/>
          <w:p>
            <w:pPr>
              <w:pStyle w:val="Compact"/>
              <w:jc w:val="left"/>
            </w:pPr>
            <w:r>
              <w:t xml:space="preserve">100%</w:t>
            </w:r>
          </w:p>
        </w:tc>
        <w:tc>
          <w:tcPr/>
          <w:p>
            <w:pPr>
              <w:pStyle w:val="Compact"/>
              <w:jc w:val="left"/>
            </w:pPr>
            <w:r>
              <w:t xml:space="preserve">ყოველთვიურად</w:t>
            </w:r>
          </w:p>
        </w:tc>
        <w:tc>
          <w:tcPr/>
          <w:p>
            <w:pPr>
              <w:pStyle w:val="Compact"/>
              <w:jc w:val="left"/>
            </w:pPr>
            <w:r>
              <w:t xml:space="preserve">უფროსი ანესთეზიოლოგი</w:t>
            </w:r>
          </w:p>
        </w:tc>
        <w:tc>
          <w:tcPr/>
          <w:p>
            <w:pPr>
              <w:pStyle w:val="Compact"/>
              <w:jc w:val="left"/>
            </w:pPr>
            <w:r>
              <w:t xml:space="preserve">ესკალაცია აღმასრულებელ დირექტორთან</w:t>
            </w:r>
          </w:p>
        </w:tc>
      </w:tr>
      <w:tr>
        <w:tc>
          <w:tcPr/>
          <w:p>
            <w:pPr>
              <w:pStyle w:val="Compact"/>
              <w:jc w:val="left"/>
            </w:pPr>
            <w:r>
              <w:t xml:space="preserve">გართულებები, წერილობითი რეაგირების დაცვით</w:t>
            </w:r>
          </w:p>
        </w:tc>
        <w:tc>
          <w:tcPr/>
          <w:p>
            <w:pPr>
              <w:pStyle w:val="Compact"/>
              <w:jc w:val="left"/>
            </w:pPr>
            <w:r>
              <w:t xml:space="preserve">100%</w:t>
            </w:r>
          </w:p>
        </w:tc>
        <w:tc>
          <w:tcPr/>
          <w:p>
            <w:pPr>
              <w:pStyle w:val="Compact"/>
              <w:jc w:val="left"/>
            </w:pPr>
            <w:r>
              <w:t xml:space="preserve">ყოველთვიურად</w:t>
            </w:r>
          </w:p>
        </w:tc>
        <w:tc>
          <w:tcPr/>
          <w:p>
            <w:pPr>
              <w:pStyle w:val="Compact"/>
              <w:jc w:val="left"/>
            </w:pPr>
            <w:r>
              <w:t xml:space="preserve">უფროსი ანესთეზიოლოგი</w:t>
            </w:r>
          </w:p>
        </w:tc>
        <w:tc>
          <w:tcPr/>
          <w:p>
            <w:pPr>
              <w:pStyle w:val="Compact"/>
              <w:jc w:val="left"/>
            </w:pPr>
            <w:r>
              <w:t xml:space="preserve">ესკალაცია კლინიკურ დირექტორთან</w:t>
            </w:r>
          </w:p>
        </w:tc>
      </w:tr>
    </w:tbl>
    <w:bookmarkEnd w:id="36"/>
    <w:bookmarkStart w:id="37" w:name="ჩანაწერები"/>
    <w:p>
      <w:pPr>
        <w:pStyle w:val="Heading2"/>
      </w:pPr>
      <w:r>
        <w:t xml:space="preserve">14. ჩანაწერები</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ჩანაწერი</w:t>
            </w:r>
          </w:p>
        </w:tc>
        <w:tc>
          <w:tcPr/>
          <w:p>
            <w:pPr>
              <w:pStyle w:val="Compact"/>
              <w:jc w:val="left"/>
            </w:pPr>
            <w:r>
              <w:t xml:space="preserve">შენახვის ადგილი</w:t>
            </w:r>
          </w:p>
        </w:tc>
        <w:tc>
          <w:tcPr/>
          <w:p>
            <w:pPr>
              <w:pStyle w:val="Compact"/>
              <w:jc w:val="left"/>
            </w:pPr>
            <w:r>
              <w:t xml:space="preserve">შენახვის ვადა</w:t>
            </w:r>
          </w:p>
        </w:tc>
      </w:tr>
      <w:tr>
        <w:tc>
          <w:tcPr/>
          <w:p>
            <w:pPr>
              <w:pStyle w:val="Compact"/>
              <w:jc w:val="left"/>
            </w:pPr>
            <w:r>
              <w:t xml:space="preserve">ამ დოკუმენტში მითითებული ჩანაწერი</w:t>
            </w:r>
          </w:p>
        </w:tc>
        <w:tc>
          <w:tcPr/>
          <w:p>
            <w:pPr>
              <w:pStyle w:val="Compact"/>
              <w:jc w:val="left"/>
            </w:pPr>
            <w:r>
              <w:t xml:space="preserve">პაციენტის ჩანაწერი ან განყოფილების საქმე</w:t>
            </w:r>
          </w:p>
        </w:tc>
        <w:tc>
          <w:tcPr/>
          <w:p>
            <w:pPr>
              <w:pStyle w:val="Compact"/>
              <w:jc w:val="left"/>
            </w:pPr>
            <w:r>
              <w:t xml:space="preserve">დაწესებულების ჩანაწერების პოლიტიკით დადგენილი პერიოდი (წლები)</w:t>
            </w:r>
          </w:p>
        </w:tc>
      </w:tr>
    </w:tbl>
    <w:bookmarkEnd w:id="37"/>
    <w:bookmarkStart w:id="38" w:name="სწავლება"/>
    <w:p>
      <w:pPr>
        <w:pStyle w:val="Heading2"/>
      </w:pPr>
      <w:r>
        <w:t xml:space="preserve">15. სწავლება</w:t>
      </w:r>
    </w:p>
    <w:p>
      <w:pPr>
        <w:numPr>
          <w:ilvl w:val="0"/>
          <w:numId w:val="1009"/>
        </w:numPr>
        <w:pStyle w:val="Compact"/>
      </w:pPr>
      <w:r>
        <w:t xml:space="preserve">პერსონალი ამ დოკუმენტში ინსტრუქტირდება ჩართვისას და ყოველწლიურად ახლდება, კომპეტენციის ჩაწერილი შემოწმებით.</w:t>
      </w:r>
    </w:p>
    <w:bookmarkEnd w:id="38"/>
    <w:bookmarkStart w:id="41" w:name="დაკავშირებული-დოკუმენტები"/>
    <w:p>
      <w:pPr>
        <w:pStyle w:val="Heading2"/>
      </w:pPr>
      <w:r>
        <w:t xml:space="preserve">16. დაკავშირებული დოკუმენტები</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ID</w:t>
            </w:r>
          </w:p>
        </w:tc>
        <w:tc>
          <w:tcPr/>
          <w:p>
            <w:pPr>
              <w:pStyle w:val="Compact"/>
              <w:jc w:val="left"/>
            </w:pPr>
            <w:r>
              <w:t xml:space="preserve">სათაური</w:t>
            </w:r>
          </w:p>
        </w:tc>
        <w:tc>
          <w:tcPr/>
          <w:p>
            <w:pPr>
              <w:pStyle w:val="Compact"/>
              <w:jc w:val="left"/>
            </w:pPr>
            <w:r>
              <w:t xml:space="preserve">გამოყენება</w:t>
            </w:r>
          </w:p>
        </w:tc>
      </w:tr>
      <w:tr>
        <w:tc>
          <w:tcPr/>
          <w:p>
            <w:pPr>
              <w:pStyle w:val="Compact"/>
              <w:jc w:val="left"/>
            </w:pPr>
            <w:hyperlink r:id="rId39">
              <w:r>
                <w:rPr>
                  <w:rStyle w:val="Hyperlink"/>
                </w:rPr>
                <w:t xml:space="preserve">DAY-REG-001</w:t>
              </w:r>
            </w:hyperlink>
          </w:p>
        </w:tc>
        <w:tc>
          <w:tcPr/>
          <w:p>
            <w:pPr>
              <w:pStyle w:val="Compact"/>
              <w:jc w:val="left"/>
            </w:pPr>
            <w:r>
              <w:t xml:space="preserve">სედაციის სერტიფიკატების რეესტრი</w:t>
            </w:r>
          </w:p>
        </w:tc>
        <w:tc>
          <w:tcPr/>
          <w:p>
            <w:pPr>
              <w:pStyle w:val="Compact"/>
              <w:jc w:val="left"/>
            </w:pPr>
            <w:r>
              <w:t xml:space="preserve">რეგისტრი</w:t>
            </w:r>
          </w:p>
        </w:tc>
      </w:tr>
      <w:tr>
        <w:tc>
          <w:tcPr/>
          <w:p>
            <w:pPr>
              <w:pStyle w:val="Compact"/>
              <w:jc w:val="left"/>
            </w:pPr>
            <w:hyperlink r:id="rId40">
              <w:r>
                <w:rPr>
                  <w:rStyle w:val="Hyperlink"/>
                </w:rPr>
                <w:t xml:space="preserve">SRG-POL-002</w:t>
              </w:r>
            </w:hyperlink>
          </w:p>
        </w:tc>
        <w:tc>
          <w:tcPr/>
          <w:p>
            <w:pPr>
              <w:pStyle w:val="Compact"/>
              <w:jc w:val="left"/>
            </w:pPr>
            <w:r>
              <w:t xml:space="preserve">ანესთეზიის უსაფრთხოება და მონიტორინგი</w:t>
            </w:r>
          </w:p>
        </w:tc>
        <w:tc>
          <w:tcPr/>
          <w:p>
            <w:pPr>
              <w:pStyle w:val="Compact"/>
              <w:jc w:val="left"/>
            </w:pPr>
            <w:r>
              <w:t xml:space="preserve">პოლიტიკა</w:t>
            </w:r>
          </w:p>
        </w:tc>
      </w:tr>
    </w:tbl>
    <w:bookmarkEnd w:id="41"/>
    <w:bookmarkStart w:id="42" w:name="მტკიცებულებები"/>
    <w:p>
      <w:pPr>
        <w:pStyle w:val="Heading2"/>
      </w:pPr>
      <w:r>
        <w:t xml:space="preserve">17. მტკიცებულებები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მითითება</w:t>
            </w:r>
          </w:p>
        </w:tc>
        <w:tc>
          <w:tcPr/>
          <w:p>
            <w:pPr>
              <w:pStyle w:val="Compact"/>
              <w:jc w:val="left"/>
            </w:pPr>
            <w:r>
              <w:t xml:space="preserve">შენიშვნა</w:t>
            </w:r>
          </w:p>
        </w:tc>
      </w:tr>
      <w:tr>
        <w:tc>
          <w:tcPr/>
          <w:p>
            <w:pPr>
              <w:pStyle w:val="Compact"/>
              <w:jc w:val="left"/>
            </w:pPr>
            <w:r>
              <w:t xml:space="preserve">E-009</w:t>
            </w:r>
          </w:p>
        </w:tc>
        <w:tc>
          <w:tcPr/>
          <w:p>
            <w:pPr>
              <w:pStyle w:val="Compact"/>
              <w:jc w:val="left"/>
            </w:pPr>
            <w:r>
              <w:t xml:space="preserve">დაფუძნებულია ASA Standards for Basic Anesthetic Monitoring-ზე (2020).</w:t>
            </w:r>
          </w:p>
        </w:tc>
      </w:tr>
      <w:tr>
        <w:tc>
          <w:tcPr/>
          <w:p>
            <w:pPr>
              <w:pStyle w:val="Compact"/>
              <w:jc w:val="left"/>
            </w:pPr>
            <w:r>
              <w:t xml:space="preserve">E-006</w:t>
            </w:r>
          </w:p>
        </w:tc>
        <w:tc>
          <w:tcPr/>
          <w:p>
            <w:pPr>
              <w:pStyle w:val="Compact"/>
              <w:jc w:val="left"/>
            </w:pPr>
            <w:r>
              <w:t xml:space="preserve">ASF Policy Framework v1.2. ადაპტირებული.</w:t>
            </w:r>
          </w:p>
        </w:tc>
      </w:tr>
      <w:tr>
        <w:tc>
          <w:tcPr/>
          <w:p>
            <w:pPr>
              <w:pStyle w:val="Compact"/>
              <w:jc w:val="left"/>
            </w:pPr>
            <w:r>
              <w:t xml:space="preserve">E-009</w:t>
            </w:r>
          </w:p>
        </w:tc>
        <w:tc>
          <w:tcPr/>
          <w:p>
            <w:pPr>
              <w:pStyle w:val="Compact"/>
              <w:jc w:val="left"/>
            </w:pPr>
            <w:r>
              <w:t xml:space="preserve">ASF ექსპერტთა კომიტეტის კონსენსუსი.</w:t>
            </w:r>
          </w:p>
        </w:tc>
      </w:tr>
    </w:tbl>
    <w:bookmarkEnd w:id="42"/>
    <w:bookmarkStart w:id="43" w:name="ცვლილებების-ისტორია"/>
    <w:p>
      <w:pPr>
        <w:pStyle w:val="Heading2"/>
      </w:pPr>
      <w:r>
        <w:t xml:space="preserve">18. ცვლილებების ისტორია</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ვერსია</w:t>
            </w:r>
          </w:p>
        </w:tc>
        <w:tc>
          <w:tcPr/>
          <w:p>
            <w:pPr>
              <w:pStyle w:val="Compact"/>
              <w:jc w:val="left"/>
            </w:pPr>
            <w:r>
              <w:t xml:space="preserve">თარიღი</w:t>
            </w:r>
          </w:p>
        </w:tc>
        <w:tc>
          <w:tcPr/>
          <w:p>
            <w:pPr>
              <w:pStyle w:val="Compact"/>
              <w:jc w:val="left"/>
            </w:pPr>
            <w:r>
              <w:t xml:space="preserve">რა შეიცვალა</w:t>
            </w:r>
          </w:p>
        </w:tc>
        <w:tc>
          <w:tcPr/>
          <w:p>
            <w:pPr>
              <w:pStyle w:val="Compact"/>
              <w:jc w:val="left"/>
            </w:pPr>
            <w:r>
              <w:t xml:space="preserve">დამტკიცება</w:t>
            </w:r>
          </w:p>
        </w:tc>
      </w:tr>
      <w:tr>
        <w:tc>
          <w:tcPr/>
          <w:p>
            <w:pPr>
              <w:pStyle w:val="Compact"/>
              <w:jc w:val="left"/>
            </w:pPr>
            <w:r>
              <w:t xml:space="preserve">1.0</w:t>
            </w:r>
          </w:p>
        </w:tc>
        <w:tc>
          <w:tcPr/>
          <w:p>
            <w:pPr>
              <w:pStyle w:val="Compact"/>
            </w:pPr>
          </w:p>
        </w:tc>
        <w:tc>
          <w:tcPr/>
          <w:p>
            <w:pPr>
              <w:pStyle w:val="Compact"/>
              <w:jc w:val="left"/>
            </w:pPr>
            <w:r>
              <w:t xml:space="preserve">პირველი ვერსია</w:t>
            </w:r>
          </w:p>
        </w:tc>
        <w:tc>
          <w:tcPr/>
          <w:p>
            <w:pPr>
              <w:pStyle w:val="Compact"/>
            </w:pPr>
          </w:p>
        </w:tc>
      </w:tr>
    </w:tbl>
    <w:bookmarkEnd w:id="43"/>
    <w:bookmarkStart w:id="44" w:name="ამ-დოკუმენტის-ელექტრონული-სწავლება"/>
    <w:p>
      <w:pPr>
        <w:pStyle w:val="Heading2"/>
      </w:pPr>
      <w:r>
        <w:t xml:space="preserve">ამ დოკუმენტის ელექტრონული სწავლება</w:t>
      </w:r>
    </w:p>
    <w:p>
      <w:pPr>
        <w:numPr>
          <w:ilvl w:val="0"/>
          <w:numId w:val="1010"/>
        </w:numPr>
        <w:pStyle w:val="Compact"/>
      </w:pPr>
      <w:r>
        <w:t xml:space="preserve">Ophthalmology &amp; Day Surgery Safety</w:t>
      </w:r>
      <w:r>
        <w:t xml:space="preserve"> </w:t>
      </w:r>
      <w:r>
        <w:t xml:space="preserve">(AMB-15)</w:t>
      </w:r>
    </w:p>
    <w:p>
      <w:pPr>
        <w:numPr>
          <w:ilvl w:val="0"/>
          <w:numId w:val="1010"/>
        </w:numPr>
        <w:pStyle w:val="Compact"/>
      </w:pPr>
      <w:r>
        <w:t xml:space="preserve">Emergency Medical Equipment &amp; AED Readiness</w:t>
      </w:r>
      <w:r>
        <w:t xml:space="preserve"> </w:t>
      </w:r>
      <w:r>
        <w:t xml:space="preserve">(MED-02)</w:t>
      </w:r>
    </w:p>
    <w:bookmarkEnd w:id="44"/>
    <w:bookmarkStart w:id="45" w:name="წყაროები"/>
    <w:p>
      <w:pPr>
        <w:pStyle w:val="Heading2"/>
      </w:pPr>
      <w:r>
        <w:t xml:space="preserve">წყაროები</w:t>
      </w:r>
    </w:p>
    <w:p>
      <w:pPr>
        <w:numPr>
          <w:ilvl w:val="0"/>
          <w:numId w:val="1011"/>
        </w:numPr>
        <w:pStyle w:val="Compact"/>
      </w:pPr>
      <w:r>
        <w:t xml:space="preserve">Accréditation Sans Frontières (2026). ASF Policy Framework v1.2.</w:t>
      </w:r>
      <w:r>
        <w:t xml:space="preserve"> </w:t>
      </w:r>
      <w:r>
        <w:t xml:space="preserve">(E-006)</w:t>
      </w:r>
    </w:p>
    <w:p>
      <w:pPr>
        <w:numPr>
          <w:ilvl w:val="0"/>
          <w:numId w:val="1011"/>
        </w:numPr>
        <w:pStyle w:val="Compact"/>
      </w:pPr>
      <w:r>
        <w:t xml:space="preserve">Accréditation Sans Frontières (2026). ASF Expert Committee consensus on Standard 1.</w:t>
      </w:r>
      <w:r>
        <w:t xml:space="preserve"> </w:t>
      </w:r>
      <w:r>
        <w:t xml:space="preserve">(E-009)</w:t>
      </w:r>
    </w:p>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40" Target="/documents/srg-pol-002/" TargetMode="External" /><Relationship Type="http://schemas.openxmlformats.org/officeDocument/2006/relationships/hyperlink" Id="rId39" Target="/ka/documents/day-reg-001/" TargetMode="External" /><Relationship Type="http://schemas.openxmlformats.org/officeDocument/2006/relationships/hyperlink" Id="rId22" Target="/ka/resources/sops/" TargetMode="External" /><Relationship Type="http://schemas.openxmlformats.org/officeDocument/2006/relationships/hyperlink" Id="rId20" Target="/ka/standards/" TargetMode="External" /><Relationship Type="http://schemas.openxmlformats.org/officeDocument/2006/relationships/hyperlink" Id="rId21" Target="/ka/standards/standard-6/" TargetMode="External" /><Relationship Type="http://schemas.openxmlformats.org/officeDocument/2006/relationships/hyperlink" Id="rId23" Target="/ka/standards/standard-6/#c6-2" TargetMode="External" /></Relationships>
</file>

<file path=word/_rels/footnotes.xml.rels><?xml version="1.0" encoding="UTF-8"?><Relationships xmlns="http://schemas.openxmlformats.org/package/2006/relationships"><Relationship Type="http://schemas.openxmlformats.org/officeDocument/2006/relationships/hyperlink" Id="rId40" Target="/documents/srg-pol-002/" TargetMode="External" /><Relationship Type="http://schemas.openxmlformats.org/officeDocument/2006/relationships/hyperlink" Id="rId39" Target="/ka/documents/day-reg-001/" TargetMode="External" /><Relationship Type="http://schemas.openxmlformats.org/officeDocument/2006/relationships/hyperlink" Id="rId22" Target="/ka/resources/sops/" TargetMode="External" /><Relationship Type="http://schemas.openxmlformats.org/officeDocument/2006/relationships/hyperlink" Id="rId20" Target="/ka/standards/" TargetMode="External" /><Relationship Type="http://schemas.openxmlformats.org/officeDocument/2006/relationships/hyperlink" Id="rId21" Target="/ka/standards/standard-6/" TargetMode="External" /><Relationship Type="http://schemas.openxmlformats.org/officeDocument/2006/relationships/hyperlink" Id="rId23" Target="/ka/standards/standard-6/#c6-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DAY-SOP-002: საჩერებლობის (სედაციის) და ანესთეზიის დონე და გართულებებზე რეაგირება</dc:title>
  <dc:creator/>
  <cp:keywords/>
  <dcterms:created xsi:type="dcterms:W3CDTF">2026-11-07T01:48:25Z</dcterms:created>
  <dcterms:modified xsi:type="dcterms:W3CDTF">2026-11-07T01:48:25Z</dcterms:modified>
</cp:coreProperties>
</file>

<file path=docProps/custom.xml><?xml version="1.0" encoding="utf-8"?>
<Properties xmlns="http://schemas.openxmlformats.org/officeDocument/2006/custom-properties" xmlns:vt="http://schemas.openxmlformats.org/officeDocument/2006/docPropsVTypes"/>
</file>