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DAY-SOP-003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6.7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დაგეგმილი ერთდღიანი შემთხვევა, რომელიც დაუგეგმავად იქნა მიღებული, განიხილება.</w:t>
      </w:r>
    </w:p>
    <w:p>
      <w:pPr>
        <w:numPr>
          <w:ilvl w:val="0"/>
          <w:numId w:val="1001"/>
        </w:numPr>
        <w:pStyle w:val="Compact"/>
      </w:pPr>
      <w:r>
        <w:t xml:space="preserve">განხილვა კითხულობს, რატომ არ გაიწერა პაციენტი დაგეგმილად სახლში.</w:t>
      </w:r>
    </w:p>
    <w:p>
      <w:pPr>
        <w:numPr>
          <w:ilvl w:val="0"/>
          <w:numId w:val="1001"/>
        </w:numPr>
        <w:pStyle w:val="Compact"/>
      </w:pPr>
      <w:r>
        <w:t xml:space="preserve">ყოველ დასკვნას აქვს ქმედება პასუხისმგებელ პირთან ერთად.</w:t>
      </w:r>
    </w:p>
    <w:p>
      <w:pPr>
        <w:numPr>
          <w:ilvl w:val="0"/>
          <w:numId w:val="1001"/>
        </w:numPr>
        <w:pStyle w:val="Compact"/>
      </w:pPr>
      <w:r>
        <w:t xml:space="preserve">დასკვნები ყოველ კვარტალში ეცნობება.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დაუგეგმავი მიღება არ არის განხილული, ან დასკვნას ქმედება არ აქვს.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ყოველი ერთდღიანი შემთხვევიდან ვისწავლოთ, რომელიც დაგეგმილად სახლში ვერ წავიდა (6.7).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როცა პაციენტი, რომელიც იმავე დღეს გასაწერად იყო დაგეგმილი, მიიღება, დაგეგმვაში რაღაც არასწორად მოხდა. ყოველი მათგანის განხილვა აჩვენებს მიზეზს და ხელს უშლის მის განმეორებას.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კვარტალურ განხილვას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წამყვანი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ასრულებს განხილვას ყოველი მიღებისთვის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ექთანი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განხილვა.</w:t>
      </w:r>
    </w:p>
    <w:p>
      <w:pPr>
        <w:numPr>
          <w:ilvl w:val="0"/>
          <w:numId w:val="1004"/>
        </w:numPr>
        <w:pStyle w:val="Compact"/>
      </w:pPr>
      <w:r>
        <w:t xml:space="preserve">7 დღის განმავლობაში დაასრულეთ განხილვა ყოველი დაუგეგმავი მიღებისთვის (DAY-REG-002).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7 დღის განმავლობაში.</w:t>
      </w:r>
    </w:p>
    <w:p>
      <w:pPr>
        <w:pStyle w:val="BodyText"/>
      </w:pPr>
      <w:r>
        <w:t xml:space="preserve">ნაბიჯი 2. მიზეზის პოვნა.</w:t>
      </w:r>
    </w:p>
    <w:p>
      <w:pPr>
        <w:numPr>
          <w:ilvl w:val="0"/>
          <w:numId w:val="1005"/>
        </w:numPr>
        <w:pStyle w:val="Compact"/>
      </w:pPr>
      <w:r>
        <w:t xml:space="preserve">აღრიცხეთ მიზეზი: შერჩევა, გართულება, ტკივილი, გულისრევა ან სხვა.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მიზეზი, არა დამნაშავე.</w:t>
      </w:r>
    </w:p>
    <w:p>
      <w:pPr>
        <w:pStyle w:val="BodyText"/>
      </w:pPr>
      <w:r>
        <w:t xml:space="preserve">ნაბიჯი 3. მოქმედება.</w:t>
      </w:r>
    </w:p>
    <w:p>
      <w:pPr>
        <w:numPr>
          <w:ilvl w:val="0"/>
          <w:numId w:val="1006"/>
        </w:numPr>
        <w:pStyle w:val="Compact"/>
      </w:pPr>
      <w:r>
        <w:t xml:space="preserve">შეათანხმეთ ქმედება პასუხისმგებელ პირთან და ვადასთან ერთად და დახურეთ შემდეგ განხილვაზე.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სწავლა არის ქმედება.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დაუგეგმავი მიღებები, განხილული 7 დღეში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განხილვის ქმედებები დახურულია დროულად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DAY-REG-002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დაუგეგმავი მიღებების განხილვის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DAY-POL-001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შერჩევა ერთდღიანი ოპერაციისთვის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შერჩევა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ინციდენტის შეტყობინება, სამართლიანი კულტურა და ღია ინფორმაცია</w:t>
        </w:r>
      </w:hyperlink>
      <w:r>
        <w:t xml:space="preserve"> </w:t>
      </w:r>
      <w:r>
        <w:t xml:space="preserve">(T-09)</w:t>
      </w:r>
    </w:p>
    <w:p>
      <w:pPr>
        <w:numPr>
          <w:ilvl w:val="0"/>
          <w:numId w:val="1010"/>
        </w:numPr>
        <w:pStyle w:val="Compact"/>
      </w:pPr>
      <w:r>
        <w:t xml:space="preserve">გაწერის შემდგომი მზრუნველობა და მეთვალყურეობა: უსაფრთხო გაწერის სტანდარტები</w:t>
      </w:r>
      <w:r>
        <w:t xml:space="preserve"> </w:t>
      </w:r>
      <w:r>
        <w:t xml:space="preserve">(H-06)</w:t>
      </w:r>
    </w:p>
    <w:bookmarkEnd w:id="45"/>
    <w:bookmarkStart w:id="48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6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ka/documents/day-pol-001/" TargetMode="External" /><Relationship Type="http://schemas.openxmlformats.org/officeDocument/2006/relationships/hyperlink" Id="rId39" Target="/ka/documents/day-reg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6/" TargetMode="External" /><Relationship Type="http://schemas.openxmlformats.org/officeDocument/2006/relationships/hyperlink" Id="rId23" Target="/ka/standards/standard-6/#c6-7" TargetMode="External" /><Relationship Type="http://schemas.openxmlformats.org/officeDocument/2006/relationships/hyperlink" Id="rId44" Target="https://academy.gmj.ge/courses/asf-t-09-en/" TargetMode="External" /><Relationship Type="http://schemas.openxmlformats.org/officeDocument/2006/relationships/hyperlink" Id="rId47" Target="https://france-asf.fr/wp-content/uploads/2026/10/day-sop-003-form-1.docx" TargetMode="External" /><Relationship Type="http://schemas.openxmlformats.org/officeDocument/2006/relationships/hyperlink" Id="rId46" Target="https://france-asf.fr/wp-content/uploads/2026/10/day-sop-003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ka/documents/day-pol-001/" TargetMode="External" /><Relationship Type="http://schemas.openxmlformats.org/officeDocument/2006/relationships/hyperlink" Id="rId39" Target="/ka/documents/day-reg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6/" TargetMode="External" /><Relationship Type="http://schemas.openxmlformats.org/officeDocument/2006/relationships/hyperlink" Id="rId23" Target="/ka/standards/standard-6/#c6-7" TargetMode="External" /><Relationship Type="http://schemas.openxmlformats.org/officeDocument/2006/relationships/hyperlink" Id="rId44" Target="https://academy.gmj.ge/courses/asf-t-09-en/" TargetMode="External" /><Relationship Type="http://schemas.openxmlformats.org/officeDocument/2006/relationships/hyperlink" Id="rId47" Target="https://france-asf.fr/wp-content/uploads/2026/10/day-sop-003-form-1.docx" TargetMode="External" /><Relationship Type="http://schemas.openxmlformats.org/officeDocument/2006/relationships/hyperlink" Id="rId46" Target="https://france-asf.fr/wp-content/uploads/2026/10/day-sop-003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2026-11-07T01:41:32Z</dcterms:created>
  <dcterms:modified xsi:type="dcterms:W3CDTF">2026-11-07T01:41:32Z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