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0591e026f125017005f532c46e3562a36b1c204"/>
    <w:p>
      <w:pPr>
        <w:pStyle w:val="Heading1"/>
      </w:pPr>
      <w:r>
        <w:t xml:space="preserve">DEN-FRM-004: ადგილობრივი ანესთეზიის დოზის გაანგარიშება და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DEN-FRM-004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31.14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ადგილობრივი ანესთეზიის პრეპარატს, გაანგარიშებულ დოზასა და მიცემულ ჯამურ დოზას, რათა ყოველი დოზა მაქსიმუმის ფარგლებში დარჩეს.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დოზა გამოთვალეთ პაციენტის წონისა და პრეპარატის მაქსიმალური დოზის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პრეპარატი, დოზა და მიცემული მოცულობა.</w:t>
      </w:r>
    </w:p>
    <w:p>
      <w:pPr>
        <w:numPr>
          <w:ilvl w:val="0"/>
          <w:numId w:val="1001"/>
        </w:numPr>
        <w:pStyle w:val="Compact"/>
      </w:pPr>
      <w:r>
        <w:t xml:space="preserve">განმეორებითი დოზისთვის შეამოწმეთ იგი უკვე მიცემულ ჯამურ დოზასთან.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პაციენტი, წონა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პრეპარატი, კონცენტრაცია და მაქსიმალური დოზა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გაანგარიშებული დოზა და მიცემული მოცულობა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მიცემული ჯამური დოზა და განმეორებითი დოზის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Dental Practice: Five Safety Criteria at the Chair</w:t>
        </w:r>
      </w:hyperlink>
      <w:r>
        <w:t xml:space="preserve"> </w:t>
      </w:r>
      <w:r>
        <w:t xml:space="preserve">(AMB-08)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14" TargetMode="External"/><Relationship Id="rId29" Type="http://schemas.openxmlformats.org/officeDocument/2006/relationships/hyperlink" Target="https://academy.gmj.ge/courses/asf-amb-08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14" TargetMode="External"/><Relationship Id="rId29" Type="http://schemas.openxmlformats.org/officeDocument/2006/relationships/hyperlink" Target="https://academy.gmj.ge/courses/asf-amb-08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2026-11-07T01:14:52Z</dcterms:created>
  <dcterms:modified xsi:type="dcterms:W3CDTF">2026-11-07T01:14:52Z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