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cc35bc0125bbd0506a60267116baa6c1325666"/>
    <w:p>
      <w:pPr>
        <w:pStyle w:val="Heading1"/>
      </w:pPr>
      <w:r>
        <w:t xml:space="preserve">DEN-FRM-006: სტომატოლოგიური კბილის ფორმულა და კლინიკური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DEN-FRM-006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31.17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სტომატოლოგიურ კბილის ფორმულასა და კლინიკურ ჩანაწერებს ყოველი ვიზიტისთვის სტანდარტული აღნიშვნით.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ყოველი კბილი და დასკვნა აღნიშნეთ სტანდარტული აღნიშვნით.</w:t>
      </w:r>
    </w:p>
    <w:p>
      <w:pPr>
        <w:numPr>
          <w:ilvl w:val="0"/>
          <w:numId w:val="1001"/>
        </w:numPr>
        <w:pStyle w:val="Compact"/>
      </w:pPr>
      <w:r>
        <w:t xml:space="preserve">შეავსეთ ყოველი ვიზიტის ველი.</w:t>
      </w:r>
    </w:p>
    <w:p>
      <w:pPr>
        <w:numPr>
          <w:ilvl w:val="0"/>
          <w:numId w:val="1001"/>
        </w:numPr>
        <w:pStyle w:val="Compact"/>
      </w:pPr>
      <w:r>
        <w:t xml:space="preserve">ყოველ მკურნალობის ჩანაწერს მოაწერეთ კლინიცისტის სახელი.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ვიზიტის თარიღი და პაციენტი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აღნიშვნა სტანდარტული ნოტაციით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მკურნალობა და დასკვნები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კლინიცისტის ხელმოწერა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Dental Practice: Five Safety Criteria at the Chair</w:t>
        </w:r>
      </w:hyperlink>
      <w:r>
        <w:t xml:space="preserve"> </w:t>
      </w:r>
      <w:r>
        <w:t xml:space="preserve">(AMB-08)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17" TargetMode="External"/><Relationship Id="rId29" Type="http://schemas.openxmlformats.org/officeDocument/2006/relationships/hyperlink" Target="https://academy.gmj.ge/courses/asf-amb-08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1/" TargetMode="External"/><Relationship Id="rId23" Type="http://schemas.openxmlformats.org/officeDocument/2006/relationships/hyperlink" Target="/ka/standards/standard-31/#c31-17" TargetMode="External"/><Relationship Id="rId29" Type="http://schemas.openxmlformats.org/officeDocument/2006/relationships/hyperlink" Target="https://academy.gmj.ge/courses/asf-amb-08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2026-11-07T01:14:38Z</dcterms:created>
  <dcterms:modified xsi:type="dcterms:W3CDTF">2026-11-07T01:14:38Z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