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DEN-POL-004:</w:t>
      </w:r>
      <w:r>
        <w:t xml:space="preserve"> </w:t>
      </w:r>
      <w:r>
        <w:t xml:space="preserve">საფასურის</w:t>
      </w:r>
      <w:r>
        <w:t xml:space="preserve"> </w:t>
      </w:r>
      <w:r>
        <w:t xml:space="preserve">გამჟღავნება</w:t>
      </w:r>
      <w:r>
        <w:t xml:space="preserve"> </w:t>
      </w:r>
      <w:r>
        <w:t xml:space="preserve">და</w:t>
      </w:r>
      <w:r>
        <w:t xml:space="preserve"> </w:t>
      </w:r>
      <w:r>
        <w:t xml:space="preserve">მკურნალობის</w:t>
      </w:r>
      <w:r>
        <w:t xml:space="preserve"> </w:t>
      </w:r>
      <w:r>
        <w:t xml:space="preserve">შეფასება</w:t>
      </w:r>
    </w:p>
    <w:bookmarkStart w:id="46" w:name="Xf24bedcc2d6163caa984076d80ebc0e0b2b195f"/>
    <w:p>
      <w:pPr>
        <w:pStyle w:val="Heading1"/>
      </w:pPr>
      <w:r>
        <w:t xml:space="preserve">DEN-POL-004: საფასურის გამჟღავნება და მკურნალობის შეფასება</w:t>
      </w:r>
    </w:p>
    <w:p>
      <w:pPr>
        <w:pStyle w:val="FirstParagraph"/>
      </w:pPr>
      <w:hyperlink r:id="rId20">
        <w:r>
          <w:rPr>
            <w:rStyle w:val="Hyperlink"/>
          </w:rPr>
          <w:t xml:space="preserve">სტანდარტები</w:t>
        </w:r>
      </w:hyperlink>
      <w:r>
        <w:t xml:space="preserve"> </w:t>
      </w:r>
      <w:r>
        <w:t xml:space="preserve">›</w:t>
      </w:r>
      <w:r>
        <w:t xml:space="preserve"> </w:t>
      </w:r>
      <w:hyperlink r:id="rId21">
        <w:r>
          <w:rPr>
            <w:rStyle w:val="Hyperlink"/>
          </w:rPr>
          <w:t xml:space="preserve">სტანდარტი 31</w:t>
        </w:r>
      </w:hyperlink>
      <w:r>
        <w:t xml:space="preserve"> </w:t>
      </w:r>
      <w:r>
        <w:t xml:space="preserve">›</w:t>
      </w:r>
      <w:r>
        <w:t xml:space="preserve"> </w:t>
      </w:r>
      <w:hyperlink r:id="rId22">
        <w:r>
          <w:rPr>
            <w:rStyle w:val="Hyperlink"/>
          </w:rPr>
          <w:t xml:space="preserve">პოლიტიკები</w:t>
        </w:r>
      </w:hyperlink>
    </w:p>
    <w:p>
      <w:pPr>
        <w:pStyle w:val="BodyText"/>
      </w:pPr>
      <w:r>
        <w:t xml:space="preserve">პოლიტიკა · DEN-POL-004 · ვერსია 1.0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მხარს უჭერს:</w:t>
      </w:r>
      <w:r>
        <w:t xml:space="preserve"> </w:t>
      </w:r>
      <w:hyperlink r:id="rId23">
        <w:r>
          <w:rPr>
            <w:rStyle w:val="Hyperlink"/>
          </w:rPr>
          <w:t xml:space="preserve">31.19</w:t>
        </w:r>
      </w:hyperlink>
    </w:p>
    <w:p>
      <w:pPr>
        <w:pStyle w:val="BodyText"/>
      </w:pPr>
      <w:r>
        <w:t xml:space="preserve">მოკლედ</w:t>
      </w:r>
    </w:p>
    <w:p>
      <w:pPr>
        <w:numPr>
          <w:ilvl w:val="0"/>
          <w:numId w:val="1001"/>
        </w:numPr>
        <w:pStyle w:val="Compact"/>
      </w:pPr>
      <w:r>
        <w:t xml:space="preserve">საფასურები გამოქვეყნებულია და ნაჩვენებია მკურნალობის დაწყებამდე.</w:t>
      </w:r>
    </w:p>
    <w:p>
      <w:pPr>
        <w:numPr>
          <w:ilvl w:val="0"/>
          <w:numId w:val="1001"/>
        </w:numPr>
        <w:pStyle w:val="Compact"/>
      </w:pPr>
      <w:r>
        <w:t xml:space="preserve">დაგეგმილი მკურნალობისთვის მიეცემა წერილობითი შეფასება (DEN-FRM-007).</w:t>
      </w:r>
    </w:p>
    <w:p>
      <w:pPr>
        <w:numPr>
          <w:ilvl w:val="0"/>
          <w:numId w:val="1001"/>
        </w:numPr>
        <w:pStyle w:val="Compact"/>
      </w:pPr>
      <w:r>
        <w:t xml:space="preserve">ინვოისები შეესაბამება შეფასებას, ან ცვლილება წერილობით შეთანხმდება.</w:t>
      </w:r>
    </w:p>
    <w:p>
      <w:pPr>
        <w:numPr>
          <w:ilvl w:val="0"/>
          <w:numId w:val="1001"/>
        </w:numPr>
        <w:pStyle w:val="Compact"/>
      </w:pPr>
      <w:r>
        <w:t xml:space="preserve">არ ხდება ისეთი გადასახადი, რომელიც არ იყო შეფასებული ან შეთანხმებული.</w:t>
      </w:r>
    </w:p>
    <w:p>
      <w:pPr>
        <w:numPr>
          <w:ilvl w:val="0"/>
          <w:numId w:val="1001"/>
        </w:numPr>
        <w:pStyle w:val="Compact"/>
      </w:pPr>
      <w:r>
        <w:t xml:space="preserve">დაუყოვნებლივ შეაჩერეთ და მიიღეთ დახმარება, თუ: პაციენტს დაუწესდა მკურნალობის გადასახადი, რომელიც არასდროს ყოფილა შეფასებული ან შეთანხმებული.</w:t>
      </w:r>
    </w:p>
    <w:bookmarkStart w:id="24" w:name="მიზანი"/>
    <w:p>
      <w:pPr>
        <w:pStyle w:val="Heading2"/>
      </w:pPr>
      <w:r>
        <w:t xml:space="preserve">1. მიზანი</w:t>
      </w:r>
    </w:p>
    <w:p>
      <w:pPr>
        <w:pStyle w:val="FirstParagraph"/>
      </w:pPr>
      <w:r>
        <w:t xml:space="preserve">იმის უზრუნველსაყოფად, რომ პაციენტებმა იცოდნენ მკურნალობის ღირებულება დაწყებამდე და არ დაეკისროთ არაფერი, რაზეც არ შეთანხმდნენ (31.19).</w:t>
      </w:r>
    </w:p>
    <w:bookmarkEnd w:id="24"/>
    <w:bookmarkStart w:id="25" w:name="მოქმედების-სფერო"/>
    <w:p>
      <w:pPr>
        <w:pStyle w:val="Heading2"/>
      </w:pPr>
      <w:r>
        <w:t xml:space="preserve">2. მოქმედების სფერო</w:t>
      </w:r>
    </w:p>
    <w:tbl>
      <w:tblPr>
        <w:tblStyle w:val="Table"/>
        <w:tblW w:type="auto" w:w="0"/>
        <w:tblLook w:firstRow="0" w:lastRow="0" w:firstColumn="0" w:lastColumn="0" w:noHBand="0" w:noVBand="0" w:val="0000"/>
        <w:jc w:val="start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ვრცელდება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საავადმყოფოს კლინიკური და დამხმარე პერსონალი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ადგილები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დაწესებულების ყველა პალატა, კლინიკა და განყოფილება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როდის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ყოველთვის, როცა აღწერილი საქმიანობა სრულდება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არ ვრცელდება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საქმიანობა, რომელიც მოცემულია სხვა დოკუმენტში, ჩამოთვლილში მე-15 განყოფილებაში</w:t>
            </w:r>
          </w:p>
        </w:tc>
      </w:tr>
    </w:tbl>
    <w:bookmarkEnd w:id="25"/>
    <w:bookmarkStart w:id="26" w:name="განმარტებები"/>
    <w:p>
      <w:pPr>
        <w:pStyle w:val="Heading2"/>
      </w:pPr>
      <w:r>
        <w:t xml:space="preserve">3. განმარტებები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ტერმინი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მნიშვნელობა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კლინიკური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ექიმი ან ექთანი, რომელიც იმ დროს პასუხობს ამ მიმართულებაზე</w:t>
            </w:r>
          </w:p>
        </w:tc>
      </w:tr>
    </w:tbl>
    <w:bookmarkEnd w:id="26"/>
    <w:bookmarkStart w:id="27" w:name="ფონი"/>
    <w:p>
      <w:pPr>
        <w:pStyle w:val="Heading2"/>
      </w:pPr>
      <w:r>
        <w:t xml:space="preserve">4. ფონი</w:t>
      </w:r>
    </w:p>
    <w:p>
      <w:pPr>
        <w:pStyle w:val="FirstParagraph"/>
      </w:pPr>
      <w:r>
        <w:t xml:space="preserve">პაციენტები, რომლებსაც ისეთი ანგარიში მიეცემათ, რომელიც მათთვის ნათქვამზე გაცილებით მაღალია, ხშირად თავს მოტყუებულად გრძნობენ და შესაძლოა აღარ დაბრუნდნენ. გამოქვეყნებული საფასურები და წერილობითი შეფასება მკურნალობამდე უსიამოვნო სიურპრიზებს აცილებს.</w:t>
      </w:r>
    </w:p>
    <w:bookmarkEnd w:id="27"/>
    <w:bookmarkStart w:id="28" w:name="პასუხისმგებლობები"/>
    <w:p>
      <w:pPr>
        <w:pStyle w:val="Heading2"/>
      </w:pPr>
      <w:r>
        <w:t xml:space="preserve">5. პასუხისმგებლობები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როლი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პასუხისმგებლობა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კომპეტენცია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კლინიკის მენეჯერი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აქვეყნებს საფასურების ჩამონათვალს და ამოწმებს ინვოისებს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კლინიკური დირექტორი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კლინიცისტი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მკურნალობამდე აძლევს შეფასებას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კლინიკის მენეჯერი</w:t>
            </w:r>
          </w:p>
        </w:tc>
      </w:tr>
    </w:tbl>
    <w:bookmarkEnd w:id="28"/>
    <w:bookmarkStart w:id="29" w:name="მასალები-და-აღჭურვილობა"/>
    <w:p>
      <w:pPr>
        <w:pStyle w:val="Heading2"/>
      </w:pPr>
      <w:r>
        <w:t xml:space="preserve">6. მასალები და აღჭურვილობა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ერთეული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მოთხოვნა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მდგომარეობა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ამ დოკუმენტში დასახელებული ჩანაწერები და ფორმები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მიმდინარე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მოწმდება გამოყენებამდე</w:t>
            </w:r>
          </w:p>
        </w:tc>
      </w:tr>
    </w:tbl>
    <w:bookmarkEnd w:id="29"/>
    <w:bookmarkStart w:id="30" w:name="უსაფრთხოება"/>
    <w:p>
      <w:pPr>
        <w:pStyle w:val="Heading2"/>
      </w:pPr>
      <w:r>
        <w:t xml:space="preserve">7. უსაფრთხოება</w:t>
      </w:r>
    </w:p>
    <w:p>
      <w:pPr>
        <w:numPr>
          <w:ilvl w:val="0"/>
          <w:numId w:val="1002"/>
        </w:numPr>
        <w:pStyle w:val="Compact"/>
      </w:pPr>
      <w:r>
        <w:t xml:space="preserve">თუ პაციენტს დაუყოვნებლივი რისკი ემუქრება, შეაჩერეთ და მოუხმეთ დახმარებას. არ გადადოთ გადაუდებელი მკურნალობა დოკუმენტაციის შევსებისთვის.</w:t>
      </w:r>
    </w:p>
    <w:bookmarkEnd w:id="30"/>
    <w:bookmarkStart w:id="31" w:name="დაწყებამდე"/>
    <w:p>
      <w:pPr>
        <w:pStyle w:val="Heading2"/>
      </w:pPr>
      <w:r>
        <w:t xml:space="preserve">8. დაწყებამდე</w:t>
      </w:r>
    </w:p>
    <w:p>
      <w:pPr>
        <w:numPr>
          <w:ilvl w:val="0"/>
          <w:numId w:val="1003"/>
        </w:numPr>
        <w:pStyle w:val="Compact"/>
      </w:pPr>
      <w:r>
        <w:t xml:space="preserve">დაადასტურეთ, რომ ამ დოკუმენტში დასახელებული ფორმები და აღჭურვილობა ხელმისაწვდომია და მიმდინარეა.</w:t>
      </w:r>
    </w:p>
    <w:bookmarkEnd w:id="31"/>
    <w:bookmarkStart w:id="32" w:name="პროცედურა"/>
    <w:p>
      <w:pPr>
        <w:pStyle w:val="Heading2"/>
      </w:pPr>
      <w:r>
        <w:t xml:space="preserve">9. პროცედურა</w:t>
      </w:r>
    </w:p>
    <w:p>
      <w:pPr>
        <w:pStyle w:val="FirstParagraph"/>
      </w:pPr>
      <w:r>
        <w:t xml:space="preserve">ნაბიჯი 1. საფასურის ჩვენება.</w:t>
      </w:r>
    </w:p>
    <w:p>
      <w:pPr>
        <w:numPr>
          <w:ilvl w:val="0"/>
          <w:numId w:val="1004"/>
        </w:numPr>
        <w:pStyle w:val="Compact"/>
      </w:pPr>
      <w:r>
        <w:t xml:space="preserve">მკურნალობის დაწყებამდე აჩვენეთ გამოქვეყნებული საფასურები.</w:t>
      </w:r>
    </w:p>
    <w:p>
      <w:pPr>
        <w:pStyle w:val="FirstParagraph"/>
      </w:pPr>
      <w:r>
        <w:rPr>
          <w:bCs/>
          <w:b/>
        </w:rPr>
        <w:t xml:space="preserve">მთავარი პუნქტი:</w:t>
      </w:r>
      <w:r>
        <w:t xml:space="preserve"> </w:t>
      </w:r>
      <w:r>
        <w:t xml:space="preserve">ნაჩვენებია.</w:t>
      </w:r>
    </w:p>
    <w:p>
      <w:pPr>
        <w:pStyle w:val="BodyText"/>
      </w:pPr>
      <w:r>
        <w:t xml:space="preserve">ნაბიჯი 2. შეფასება.</w:t>
      </w:r>
    </w:p>
    <w:p>
      <w:pPr>
        <w:numPr>
          <w:ilvl w:val="0"/>
          <w:numId w:val="1005"/>
        </w:numPr>
        <w:pStyle w:val="Compact"/>
      </w:pPr>
      <w:r>
        <w:t xml:space="preserve">მიეცით წერილობითი შეფასება და ჩაწერეთ პაციენტის თანხმობა (DEN-FRM-007).</w:t>
      </w:r>
    </w:p>
    <w:p>
      <w:pPr>
        <w:pStyle w:val="FirstParagraph"/>
      </w:pPr>
      <w:r>
        <w:rPr>
          <w:bCs/>
          <w:b/>
        </w:rPr>
        <w:t xml:space="preserve">მთავარი პუნქტი:</w:t>
      </w:r>
      <w:r>
        <w:t xml:space="preserve"> </w:t>
      </w:r>
      <w:r>
        <w:t xml:space="preserve">შეფასებულია.</w:t>
      </w:r>
    </w:p>
    <w:p>
      <w:pPr>
        <w:pStyle w:val="BodyText"/>
      </w:pPr>
      <w:r>
        <w:t xml:space="preserve">ნაბიჯი 3. ინვოისი.</w:t>
      </w:r>
    </w:p>
    <w:p>
      <w:pPr>
        <w:numPr>
          <w:ilvl w:val="0"/>
          <w:numId w:val="1006"/>
        </w:numPr>
        <w:pStyle w:val="Compact"/>
      </w:pPr>
      <w:r>
        <w:t xml:space="preserve">გაცემამდე შეამოწმეთ ინვოისი შეფასებასთან მიმართებით.</w:t>
      </w:r>
    </w:p>
    <w:p>
      <w:pPr>
        <w:pStyle w:val="FirstParagraph"/>
      </w:pPr>
      <w:r>
        <w:rPr>
          <w:bCs/>
          <w:b/>
        </w:rPr>
        <w:t xml:space="preserve">მთავარი პუნქტი:</w:t>
      </w:r>
      <w:r>
        <w:t xml:space="preserve"> </w:t>
      </w:r>
      <w:r>
        <w:t xml:space="preserve">ინვოისირებულია.</w:t>
      </w:r>
    </w:p>
    <w:bookmarkEnd w:id="32"/>
    <w:bookmarkStart w:id="33" w:name="გადაწყვეტილების-წერტილები"/>
    <w:p>
      <w:pPr>
        <w:pStyle w:val="Heading2"/>
      </w:pPr>
      <w:r>
        <w:t xml:space="preserve">10. გადაწყვეტილების წერტილები</w:t>
      </w:r>
    </w:p>
    <w:p>
      <w:pPr>
        <w:numPr>
          <w:ilvl w:val="0"/>
          <w:numId w:val="1007"/>
        </w:numPr>
        <w:pStyle w:val="Compact"/>
      </w:pPr>
      <w:r>
        <w:t xml:space="preserve">ამ პროცედურაში გადაწყვეტილების წერტილები არ არის.</w:t>
      </w:r>
    </w:p>
    <w:bookmarkEnd w:id="33"/>
    <w:bookmarkStart w:id="34" w:name="განსაკუთრებული-სიტუაციები"/>
    <w:p>
      <w:pPr>
        <w:pStyle w:val="Heading2"/>
      </w:pPr>
      <w:r>
        <w:t xml:space="preserve">11. განსაკუთრებული სიტუაციები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სიტუაცია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მოქმედება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სამუშაო საათების გარეთ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მიჰყევით იგივე ნაბიჯებს. გამოიყენეთ დეჟურის საკონტაქტო ინფორმაცია ამ მიმართულების კედელზე.</w:t>
            </w:r>
          </w:p>
        </w:tc>
      </w:tr>
    </w:tbl>
    <w:bookmarkEnd w:id="34"/>
    <w:bookmarkStart w:id="35" w:name="ესკალაცია"/>
    <w:p>
      <w:pPr>
        <w:pStyle w:val="Heading2"/>
      </w:pPr>
      <w:r>
        <w:t xml:space="preserve">12. ესკალაცია</w:t>
      </w:r>
    </w:p>
    <w:p>
      <w:pPr>
        <w:numPr>
          <w:ilvl w:val="0"/>
          <w:numId w:val="1008"/>
        </w:numPr>
        <w:pStyle w:val="Compact"/>
      </w:pPr>
      <w:r>
        <w:t xml:space="preserve">ყოველი სერიოზული პრობლემა დაუყოვნებლივ გადაეცემა დეჟურ კლინიკურ ხელმძღვანელს, იმავე დღეს კი — კლინიკურ დირექტორს.</w:t>
      </w:r>
    </w:p>
    <w:bookmarkEnd w:id="35"/>
    <w:bookmarkStart w:id="36" w:name="მონიტორინგი"/>
    <w:p>
      <w:pPr>
        <w:pStyle w:val="Heading2"/>
      </w:pPr>
      <w:r>
        <w:t xml:space="preserve">13. მონიტორინგი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584"/>
        <w:gridCol w:w="1584"/>
        <w:gridCol w:w="1584"/>
        <w:gridCol w:w="1584"/>
        <w:gridCol w:w="1584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ზომა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სამიზნე მაჩვენებელი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სიხშირე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პასუხისმგებელი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თუ არ შესრულდა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ინვოისები, რომლებიც შეესაბამება შეთანხმებულ შეფასებას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ყოველთვიურად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კლინიკის მენეჯერი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გადაეცით კლინიკურ დირექტორს</w:t>
            </w:r>
          </w:p>
        </w:tc>
      </w:tr>
    </w:tbl>
    <w:bookmarkEnd w:id="36"/>
    <w:bookmarkStart w:id="37" w:name="ჩანაწერები"/>
    <w:p>
      <w:pPr>
        <w:pStyle w:val="Heading2"/>
      </w:pPr>
      <w:r>
        <w:t xml:space="preserve">14. ჩანაწერები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ინახება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შენახვის ვადა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ამ დოკუმენტში დასახელებული 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პაციენტის ჩანაწერი ან მიმართულების ფაილი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დაწესებულების ჩანაწერების პოლიტიკით დადგენილი პერიოდი, წლები</w:t>
            </w:r>
          </w:p>
        </w:tc>
      </w:tr>
    </w:tbl>
    <w:bookmarkEnd w:id="37"/>
    <w:bookmarkStart w:id="38" w:name="სწავლება"/>
    <w:p>
      <w:pPr>
        <w:pStyle w:val="Heading2"/>
      </w:pPr>
      <w:r>
        <w:t xml:space="preserve">15. სწავლება</w:t>
      </w:r>
    </w:p>
    <w:p>
      <w:pPr>
        <w:numPr>
          <w:ilvl w:val="0"/>
          <w:numId w:val="1009"/>
        </w:numPr>
        <w:pStyle w:val="Compact"/>
      </w:pPr>
      <w:r>
        <w:t xml:space="preserve">პერსონალი ამ დოკუმენტში გადამზადდება ჩართვისას და ყოველწლიურად განახლდება ჩაწერილი კომპეტენციის შემოწმებით.</w:t>
      </w:r>
    </w:p>
    <w:bookmarkEnd w:id="38"/>
    <w:bookmarkStart w:id="40" w:name="დაკავშირებული-დოკუმენტები"/>
    <w:p>
      <w:pPr>
        <w:pStyle w:val="Heading2"/>
      </w:pPr>
      <w:r>
        <w:t xml:space="preserve">16. დაკავშირებული დოკუმენტები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ID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სათაური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გამოყენება</w:t>
            </w:r>
          </w:p>
        </w:tc>
      </w:tr>
      <w:tr>
        <w:tc>
          <w:tcPr/>
          <w:p>
            <w:pPr>
              <w:pStyle w:val="Compact"/>
              <w:jc w:val="left"/>
            </w:pPr>
            <w:hyperlink r:id="rId39">
              <w:r>
                <w:rPr>
                  <w:rStyle w:val="Hyperlink"/>
                </w:rPr>
                <w:t xml:space="preserve">DEN-FRM-007</w:t>
              </w:r>
            </w:hyperlink>
          </w:p>
        </w:tc>
        <w:tc>
          <w:tcPr/>
          <w:p>
            <w:pPr>
              <w:pStyle w:val="Compact"/>
              <w:jc w:val="left"/>
            </w:pPr>
            <w:r>
              <w:t xml:space="preserve">მკურნალობის წერილობითი შეფასება და საფასურის შეთანხმება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ჩანაწერი</w:t>
            </w:r>
          </w:p>
        </w:tc>
      </w:tr>
    </w:tbl>
    <w:bookmarkEnd w:id="40"/>
    <w:bookmarkStart w:id="41" w:name="მტკიცებულებები"/>
    <w:p>
      <w:pPr>
        <w:pStyle w:val="Heading2"/>
      </w:pPr>
      <w:r>
        <w:t xml:space="preserve">17. 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წყარო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Policy Framework v1.2. ადაპტირებული.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ექსპერტთა კომიტეტის კონსენსუსი.</w:t>
            </w:r>
          </w:p>
        </w:tc>
      </w:tr>
    </w:tbl>
    <w:bookmarkEnd w:id="41"/>
    <w:bookmarkStart w:id="42" w:name="ცვლილებების-ისტორია"/>
    <w:p>
      <w:pPr>
        <w:pStyle w:val="Heading2"/>
      </w:pPr>
      <w:r>
        <w:t xml:space="preserve">18. 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პირველი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ექსპერტთა კომიტეტის დამტკიცება</w:t>
            </w:r>
          </w:p>
        </w:tc>
      </w:tr>
    </w:tbl>
    <w:bookmarkEnd w:id="42"/>
    <w:bookmarkStart w:id="44" w:name="ამ-დოკუმენტის-ელექტრონული-სწავლება"/>
    <w:p>
      <w:pPr>
        <w:pStyle w:val="Heading2"/>
      </w:pPr>
      <w:r>
        <w:t xml:space="preserve">ამ დოკუმენტის ელექტრონული სწავლება</w:t>
      </w:r>
    </w:p>
    <w:p>
      <w:pPr>
        <w:numPr>
          <w:ilvl w:val="0"/>
          <w:numId w:val="1010"/>
        </w:numPr>
        <w:pStyle w:val="Compact"/>
      </w:pPr>
      <w:hyperlink r:id="rId43">
        <w:r>
          <w:rPr>
            <w:rStyle w:val="Hyperlink"/>
          </w:rPr>
          <w:t xml:space="preserve">Dental Practice: Five Safety Criteria at the Chair</w:t>
        </w:r>
      </w:hyperlink>
      <w:r>
        <w:t xml:space="preserve"> </w:t>
      </w:r>
      <w:r>
        <w:t xml:space="preserve">(AMB-08)</w:t>
      </w:r>
    </w:p>
    <w:bookmarkEnd w:id="44"/>
    <w:bookmarkStart w:id="45" w:name="წყაროები"/>
    <w:p>
      <w:pPr>
        <w:pStyle w:val="Heading2"/>
      </w:pPr>
      <w:r>
        <w:t xml:space="preserve">წყაროები</w:t>
      </w:r>
    </w:p>
    <w:p>
      <w:pPr>
        <w:numPr>
          <w:ilvl w:val="0"/>
          <w:numId w:val="1011"/>
        </w:numPr>
        <w:pStyle w:val="Compact"/>
      </w:pPr>
      <w:r>
        <w:t xml:space="preserve">Accréditation Sans Frontières (2026). ASF Policy Framework v1.2.</w:t>
      </w:r>
      <w:r>
        <w:t xml:space="preserve"> </w:t>
      </w:r>
      <w:r>
        <w:t xml:space="preserve">(E-006)</w:t>
      </w:r>
    </w:p>
    <w:p>
      <w:pPr>
        <w:numPr>
          <w:ilvl w:val="0"/>
          <w:numId w:val="1011"/>
        </w:numPr>
        <w:pStyle w:val="Compact"/>
      </w:pPr>
      <w:r>
        <w:t xml:space="preserve">Accréditation Sans Frontières (2026). ASF Expert Committee consensus on Standard 1.</w:t>
      </w:r>
      <w:r>
        <w:t xml:space="preserve"> </w:t>
      </w:r>
      <w:r>
        <w:t xml:space="preserve">(E-009)</w:t>
      </w:r>
    </w:p>
    <w:bookmarkEnd w:id="45"/>
    <w:bookmarkEnd w:id="46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ka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Type="http://schemas.openxmlformats.org/officeDocument/2006/relationships/hyperlink" Id="rId39" Target="/documents/den-frm-007/" TargetMode="External" /><Relationship Type="http://schemas.openxmlformats.org/officeDocument/2006/relationships/hyperlink" Id="rId22" Target="/ka/resources/policies/" TargetMode="External" /><Relationship Type="http://schemas.openxmlformats.org/officeDocument/2006/relationships/hyperlink" Id="rId20" Target="/ka/standards/" TargetMode="External" /><Relationship Type="http://schemas.openxmlformats.org/officeDocument/2006/relationships/hyperlink" Id="rId21" Target="/ka/standards/standard-31/" TargetMode="External" /><Relationship Type="http://schemas.openxmlformats.org/officeDocument/2006/relationships/hyperlink" Id="rId23" Target="/ka/standards/standard-31/#c31-19" TargetMode="External" /><Relationship Type="http://schemas.openxmlformats.org/officeDocument/2006/relationships/hyperlink" Id="rId43" Target="https://academy.gmj.ge/courses/asf-amb-08-en/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9" Target="/documents/den-frm-007/" TargetMode="External" /><Relationship Type="http://schemas.openxmlformats.org/officeDocument/2006/relationships/hyperlink" Id="rId22" Target="/ka/resources/policies/" TargetMode="External" /><Relationship Type="http://schemas.openxmlformats.org/officeDocument/2006/relationships/hyperlink" Id="rId20" Target="/ka/standards/" TargetMode="External" /><Relationship Type="http://schemas.openxmlformats.org/officeDocument/2006/relationships/hyperlink" Id="rId21" Target="/ka/standards/standard-31/" TargetMode="External" /><Relationship Type="http://schemas.openxmlformats.org/officeDocument/2006/relationships/hyperlink" Id="rId23" Target="/ka/standards/standard-31/#c31-19" TargetMode="External" /><Relationship Type="http://schemas.openxmlformats.org/officeDocument/2006/relationships/hyperlink" Id="rId43" Target="https://academy.gmj.ge/courses/asf-amb-08-en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DEN-POL-004: საფასურის გამჟღავნება და მკურნალობის შეფასება</dc:title>
  <dc:creator/>
  <dc:language>ka</dc:language>
  <cp:keywords/>
  <dcterms:created xsi:type="dcterms:W3CDTF">2026-11-07T01:07:20Z</dcterms:created>
  <dcterms:modified xsi:type="dcterms:W3CDTF">2026-11-07T01:07:20Z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