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2515808575b0004fc382830827845cf284fe91"/>
    <w:p>
      <w:pPr>
        <w:pStyle w:val="Heading1"/>
      </w:pPr>
      <w:r>
        <w:t xml:space="preserve">DEN-REG-005: იმპლანტებისა და პროთეზის კომპონენტების მიკვლევადობის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DEN-REG-005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31.20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 დანერგილ იმპლანტს ან პროთეზის კომპონენტს, მის პარტიასთან, მომწოდებელთან და პაციენტთან ერთად, რათა ნებისმიერი პარტია მიკვლევადი იყოს.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კომპონენტი აღნუსხეთ მისი დანერგვის დროს.</w:t>
      </w:r>
    </w:p>
    <w:p>
      <w:pPr>
        <w:numPr>
          <w:ilvl w:val="0"/>
          <w:numId w:val="1001"/>
        </w:numPr>
        <w:pStyle w:val="Compact"/>
      </w:pPr>
      <w:r>
        <w:t xml:space="preserve">კომპონენტი დააკავშირეთ პაციენტის ჩანაწერთან.</w:t>
      </w:r>
    </w:p>
    <w:p>
      <w:pPr>
        <w:numPr>
          <w:ilvl w:val="0"/>
          <w:numId w:val="1001"/>
        </w:numPr>
        <w:pStyle w:val="Compact"/>
      </w:pPr>
      <w:r>
        <w:t xml:space="preserve">დადგენილ ინტერვალში შეამოწმეთ ერთი პარტიის მიკვლევადობა.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 და დანერგვის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კომპონენტი, პარტია და მომწოდებელი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ჩანაწერზე 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მიკვლევადობის შემოწმება (თარიღი და მიკვლევის დრო)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Supplier Evaluation and Purchasing</w:t>
        </w:r>
      </w:hyperlink>
      <w:r>
        <w:t xml:space="preserve"> </w:t>
      </w:r>
      <w:r>
        <w:t xml:space="preserve">(T-13)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20" TargetMode="External"/><Relationship Id="rId29" Type="http://schemas.openxmlformats.org/officeDocument/2006/relationships/hyperlink" Target="https://academy.gmj.ge/courses/asf-t-13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20" TargetMode="External"/><Relationship Id="rId29" Type="http://schemas.openxmlformats.org/officeDocument/2006/relationships/hyperlink" Target="https://academy.gmj.ge/courses/asf-t-13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2026-11-07T01:14:22Z</dcterms:created>
  <dcterms:modified xsi:type="dcterms:W3CDTF">2026-11-07T01:14:22Z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