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DET-SOP-002:</w:t>
      </w:r>
      <w:r>
        <w:t xml:space="preserve"> </w:t>
      </w:r>
      <w:r>
        <w:t xml:space="preserve">გაუარესების,</w:t>
      </w:r>
      <w:r>
        <w:t xml:space="preserve"> </w:t>
      </w:r>
      <w:r>
        <w:t xml:space="preserve">სეფსისისა</w:t>
      </w:r>
      <w:r>
        <w:t xml:space="preserve"> </w:t>
      </w:r>
      <w:r>
        <w:t xml:space="preserve">და</w:t>
      </w:r>
      <w:r>
        <w:t xml:space="preserve"> </w:t>
      </w:r>
      <w:r>
        <w:t xml:space="preserve">VTE</w:t>
      </w:r>
      <w:r>
        <w:t xml:space="preserve"> </w:t>
      </w:r>
      <w:r>
        <w:t xml:space="preserve">შემთხვევების</w:t>
      </w:r>
      <w:r>
        <w:t xml:space="preserve"> </w:t>
      </w:r>
      <w:r>
        <w:t xml:space="preserve">განხილვა</w:t>
      </w:r>
    </w:p>
    <w:bookmarkStart w:id="46" w:name="X9c1611315a408f154a92c75ca6d3de1fa20d845"/>
    <w:p>
      <w:pPr>
        <w:pStyle w:val="Heading1"/>
      </w:pPr>
      <w:r>
        <w:t xml:space="preserve">DET-SOP-002: გაუარესების, სეფსისისა და VTE შემთხვევების განხილვა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47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სტანდარტული საოპერაციო პროცედურები (SOPs)</w:t>
        </w:r>
      </w:hyperlink>
    </w:p>
    <w:p>
      <w:pPr>
        <w:pStyle w:val="BodyText"/>
      </w:pPr>
      <w:r>
        <w:t xml:space="preserve">SOP · DET-SOP-002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47.5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მოულოდნელი გაუარესება, სეფსისი და საავადმყოფოსთან დაკავშირებული ვენური თრომბოემბოლია მიმოხილება მინიმუმ ყოველ კვარტალში.</w:t>
      </w:r>
    </w:p>
    <w:p>
      <w:pPr>
        <w:numPr>
          <w:ilvl w:val="0"/>
          <w:numId w:val="1001"/>
        </w:numPr>
        <w:pStyle w:val="Compact"/>
      </w:pPr>
      <w:r>
        <w:t xml:space="preserve">შემთხვევები მოდის ინციდენტების ჟურნალიდან (NET-REG-001) და სეფსისის დროის რეგისტრიდან (SEP-REG-001).</w:t>
      </w:r>
    </w:p>
    <w:p>
      <w:pPr>
        <w:numPr>
          <w:ilvl w:val="0"/>
          <w:numId w:val="1001"/>
        </w:numPr>
        <w:pStyle w:val="Compact"/>
      </w:pPr>
      <w:r>
        <w:t xml:space="preserve">შემთხვევებში არსებული კანონზომიერება იწვევს პრაქტიკის წერილობით ცვლილებას, პასუხისმგებელი პირითა და თარიღით.</w:t>
      </w:r>
    </w:p>
    <w:p>
      <w:pPr>
        <w:numPr>
          <w:ilvl w:val="0"/>
          <w:numId w:val="1001"/>
        </w:numPr>
        <w:pStyle w:val="Compact"/>
      </w:pPr>
      <w:r>
        <w:t xml:space="preserve">მძიმე შემთხვევები ასევე გადის ძირითადი მიზეზის ანალიზს (INC-SOP-001).</w:t>
      </w:r>
    </w:p>
    <w:p>
      <w:pPr>
        <w:numPr>
          <w:ilvl w:val="0"/>
          <w:numId w:val="1001"/>
        </w:numPr>
        <w:pStyle w:val="Compact"/>
      </w:pPr>
      <w:r>
        <w:t xml:space="preserve">დაუყოვნებლივ შეაჩერეთ და მიიღეთ დახმარება, თუ: შემთხვევების კანონზომიერება გამოვლინდა და პრაქტიკაში ცვლილება არ შეტანილა.</w:t>
      </w:r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იმის მიზნით, რომ გაუარესების, სეფსისისა და VTE შემთხვევებში გამოვლინდეს კანონზომიერებები და პრაქტიკა შეიცვალოს, სადაც კანონზომიერება გამოვლინდება (47.5).</w:t>
      </w:r>
    </w:p>
    <w:bookmarkEnd w:id="24"/>
    <w:bookmarkStart w:id="25" w:name="მოქმედების-სფერო"/>
    <w:p>
      <w:pPr>
        <w:pStyle w:val="Heading2"/>
      </w:pPr>
      <w:r>
        <w:t xml:space="preserve">2. მოქმედების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საავადმყოფოს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ყოველთვის, როცა აღწერილი საქმიანობა სრულდება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რომელიც მოცემულია სხვა დოკუმენტში, ჩამოთვლილში მე-15 განყოფილებაში</w:t>
            </w:r>
          </w:p>
        </w:tc>
      </w:tr>
    </w:tbl>
    <w:bookmarkEnd w:id="25"/>
    <w:bookmarkStart w:id="26" w:name="განმარტებები"/>
    <w:p>
      <w:pPr>
        <w:pStyle w:val="Heading2"/>
      </w:pPr>
      <w:r>
        <w:t xml:space="preserve"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ექიმი ან ექთანი, რომელიც იმ დროს პასუხობს ამ მიმართულებაზე</w:t>
            </w:r>
          </w:p>
        </w:tc>
      </w:tr>
    </w:tbl>
    <w:bookmarkEnd w:id="26"/>
    <w:bookmarkStart w:id="27" w:name="ფონი"/>
    <w:p>
      <w:pPr>
        <w:pStyle w:val="Heading2"/>
      </w:pPr>
      <w:r>
        <w:t xml:space="preserve">4. ფონი</w:t>
      </w:r>
    </w:p>
    <w:p>
      <w:pPr>
        <w:pStyle w:val="FirstParagraph"/>
      </w:pPr>
      <w:r>
        <w:t xml:space="preserve">საავადმყოფოში მოულოდნელი გაუარესება, სეფსისი და თრომბები იმ შემთხვევებია, რომლებიც აჩვენებს, სად ირღვევა მოვლა. მათი რეგულარული განხილვა არის ის, თუ როგორ სწავლობს საავადმყოფო.</w:t>
      </w:r>
    </w:p>
    <w:bookmarkEnd w:id="27"/>
    <w:bookmarkStart w:id="28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ატარებს ყოველკვარტალურ განხილვას და ხელმძღვანელობს ცვლილებებს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საავადმყოფოს დირექტორი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პალატის მენეჯერი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განხილვაზე გამოაქვს პალატის შემთხვევები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ხელმძღვანელი</w:t>
            </w:r>
          </w:p>
        </w:tc>
      </w:tr>
    </w:tbl>
    <w:bookmarkEnd w:id="28"/>
    <w:bookmarkStart w:id="29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მოწმდება გამოყენებამდე</w:t>
            </w:r>
          </w:p>
        </w:tc>
      </w:tr>
    </w:tbl>
    <w:bookmarkEnd w:id="29"/>
    <w:bookmarkStart w:id="30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თუ პაციენტს დაუყოვნებლივი რისკი ემუქრება, შეაჩერეთ და მოუხმეთ დახმარებას. არ გადადოთ გადაუდებელი მკურნალობა დოკუმენტაციის შევსებისთვის.</w:t>
      </w:r>
    </w:p>
    <w:bookmarkEnd w:id="30"/>
    <w:bookmarkStart w:id="31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დაადასტურეთ, რომ ამ დოკუმენტში დასახელებული ფორმები და აღჭურვილობა ხელმისაწვდომია და მიმდინარეა.</w:t>
      </w:r>
    </w:p>
    <w:bookmarkEnd w:id="31"/>
    <w:bookmarkStart w:id="32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ნაბიჯი 1. შეგროვება.</w:t>
      </w:r>
    </w:p>
    <w:p>
      <w:pPr>
        <w:numPr>
          <w:ilvl w:val="0"/>
          <w:numId w:val="1004"/>
        </w:numPr>
        <w:pStyle w:val="Compact"/>
      </w:pPr>
      <w:r>
        <w:t xml:space="preserve">შეაგროვეთ კვარტალის შემთხვევები ინციდენტების ჟურნალიდან და სეფსისის რეგისტრიდან.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შეგროვებულია.</w:t>
      </w:r>
    </w:p>
    <w:p>
      <w:pPr>
        <w:pStyle w:val="BodyText"/>
      </w:pPr>
      <w:r>
        <w:t xml:space="preserve">ნაბიჯი 2. განხილვა.</w:t>
      </w:r>
    </w:p>
    <w:p>
      <w:pPr>
        <w:numPr>
          <w:ilvl w:val="0"/>
          <w:numId w:val="1005"/>
        </w:numPr>
        <w:pStyle w:val="Compact"/>
      </w:pPr>
      <w:r>
        <w:t xml:space="preserve">განიხილეთ ყოველი შემთხვევა და მოძებნეთ კანონზომიერება პალატის, მიზეზის ან დღის დროის მიხედვით.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განხილულია.</w:t>
      </w:r>
    </w:p>
    <w:p>
      <w:pPr>
        <w:pStyle w:val="BodyText"/>
      </w:pPr>
      <w:r>
        <w:t xml:space="preserve">ნაბიჯი 3. ცვლილება.</w:t>
      </w:r>
    </w:p>
    <w:p>
      <w:pPr>
        <w:numPr>
          <w:ilvl w:val="0"/>
          <w:numId w:val="1006"/>
        </w:numPr>
        <w:pStyle w:val="Compact"/>
      </w:pPr>
      <w:r>
        <w:t xml:space="preserve">ჩაწერეთ ყოველი ცვლილება პრაქტიკაში პასუხისმგებელი პირითა და თარიღით.</w:t>
      </w:r>
    </w:p>
    <w:p>
      <w:pPr>
        <w:numPr>
          <w:ilvl w:val="0"/>
          <w:numId w:val="1006"/>
        </w:numPr>
        <w:pStyle w:val="Compact"/>
      </w:pPr>
      <w:r>
        <w:t xml:space="preserve">ჩაატარეთ ძირითადი მიზეზის ანალიზი ყოველი მძიმე შემთხვევისთვის (INC-SOP-001).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შეცვლილია.</w:t>
      </w:r>
    </w:p>
    <w:bookmarkEnd w:id="32"/>
    <w:bookmarkStart w:id="33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3"/>
    <w:bookmarkStart w:id="34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სამუშაო საათების გარეთ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მიჰყევით იგივე ნაბიჯებს. გამოიყენეთ დეჟურის საკონტაქტო ინფორმაცია ამ მიმართულების კედელზე.</w:t>
            </w:r>
          </w:p>
        </w:tc>
      </w:tr>
    </w:tbl>
    <w:bookmarkEnd w:id="34"/>
    <w:bookmarkStart w:id="35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8"/>
        </w:numPr>
        <w:pStyle w:val="Compact"/>
      </w:pPr>
      <w:r>
        <w:t xml:space="preserve">ყოველი სერიოზული პრობლემა დაუყოვნებლივ გადაეცემა დეჟურ კლინიკურ ხელმძღვანელს, იმავე დღეს კი — კლინიკურ დირექტორს.</w:t>
      </w:r>
    </w:p>
    <w:bookmarkEnd w:id="35"/>
    <w:bookmarkStart w:id="36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ზომა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სამიზნე 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ყოველკვარტალური განხილვები ჩატარებულია გრაფიკის მიხედვით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 კვარტალში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გადაეცით საავადმყოფოს დირექტორს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გამოვლენილი კანონზომიერებები წერილობითი ცვლილებით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 კვარტალში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ხელახლა გახსენით განხილვა</w:t>
            </w:r>
          </w:p>
        </w:tc>
      </w:tr>
    </w:tbl>
    <w:bookmarkEnd w:id="36"/>
    <w:bookmarkStart w:id="37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ჩანაწერი ან მიმართულების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ჩანაწერების პოლიტიკით დადგენილი პერიოდი, წლები</w:t>
            </w:r>
          </w:p>
        </w:tc>
      </w:tr>
    </w:tbl>
    <w:bookmarkEnd w:id="37"/>
    <w:bookmarkStart w:id="38" w:name="სწავლება"/>
    <w:p>
      <w:pPr>
        <w:pStyle w:val="Heading2"/>
      </w:pPr>
      <w:r>
        <w:t xml:space="preserve">15. სწავლება</w:t>
      </w:r>
    </w:p>
    <w:p>
      <w:pPr>
        <w:numPr>
          <w:ilvl w:val="0"/>
          <w:numId w:val="1009"/>
        </w:numPr>
        <w:pStyle w:val="Compact"/>
      </w:pPr>
      <w:r>
        <w:t xml:space="preserve">პერსონალი ამ დოკუმენტში გადამზადდება ჩართვისას და ყოველწლიურად განახლდება ჩაწერილი კომპეტენციის შემოწმებით.</w:t>
      </w:r>
    </w:p>
    <w:bookmarkEnd w:id="38"/>
    <w:bookmarkStart w:id="41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NET-REG-001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ინციდენტებიდან სწავლის ჟურნალი (არსებული, ხელახლა გამოყენებული)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რეგისტრი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0">
              <w:r>
                <w:rPr>
                  <w:rStyle w:val="Hyperlink"/>
                </w:rPr>
                <w:t xml:space="preserve">INC-SOP-001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მძიმე ინციდენტების ძირითადი მიზეზის ანალიზი (არსებული, ხელახლა გამოყენებული)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SOP</w:t>
            </w:r>
          </w:p>
        </w:tc>
      </w:tr>
    </w:tbl>
    <w:bookmarkEnd w:id="41"/>
    <w:bookmarkStart w:id="42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წყარო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42"/>
    <w:bookmarkStart w:id="43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დამტკიცება</w:t>
            </w:r>
          </w:p>
        </w:tc>
      </w:tr>
    </w:tbl>
    <w:bookmarkEnd w:id="43"/>
    <w:bookmarkStart w:id="44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10"/>
        </w:numPr>
        <w:pStyle w:val="Compact"/>
      </w:pPr>
      <w:r>
        <w:t xml:space="preserve">Emergency Medical Equipment &amp; AED Readiness</w:t>
      </w:r>
      <w:r>
        <w:t xml:space="preserve"> </w:t>
      </w:r>
      <w:r>
        <w:t xml:space="preserve">(MED-02)</w:t>
      </w:r>
    </w:p>
    <w:bookmarkEnd w:id="44"/>
    <w:bookmarkStart w:id="45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45"/>
    <w:bookmarkEnd w:id="4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40" Target="/documents/inc-sop-001/" TargetMode="External" /><Relationship Type="http://schemas.openxmlformats.org/officeDocument/2006/relationships/hyperlink" Id="rId39" Target="/documents/net-reg-001/" TargetMode="External" /><Relationship Type="http://schemas.openxmlformats.org/officeDocument/2006/relationships/hyperlink" Id="rId22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47/" TargetMode="External" /><Relationship Type="http://schemas.openxmlformats.org/officeDocument/2006/relationships/hyperlink" Id="rId23" Target="/ka/standards/standard-47/#c47-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0" Target="/documents/inc-sop-001/" TargetMode="External" /><Relationship Type="http://schemas.openxmlformats.org/officeDocument/2006/relationships/hyperlink" Id="rId39" Target="/documents/net-reg-001/" TargetMode="External" /><Relationship Type="http://schemas.openxmlformats.org/officeDocument/2006/relationships/hyperlink" Id="rId22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47/" TargetMode="External" /><Relationship Type="http://schemas.openxmlformats.org/officeDocument/2006/relationships/hyperlink" Id="rId23" Target="/ka/standards/standard-47/#c47-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DET-SOP-002: გაუარესების, სეფსისისა და VTE შემთხვევების განხილვა</dc:title>
  <dc:creator/>
  <dc:language>ka</dc:language>
  <cp:keywords/>
  <dcterms:created xsi:type="dcterms:W3CDTF">2026-11-07T01:02:43Z</dcterms:created>
  <dcterms:modified xsi:type="dcterms:W3CDTF">2026-11-07T01:02:43Z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