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DGN-FRM-001:</w:t>
      </w:r>
      <w:r>
        <w:t xml:space="preserve"> </w:t>
      </w:r>
      <w:r>
        <w:t xml:space="preserve">ღირსების</w:t>
      </w:r>
      <w:r>
        <w:t xml:space="preserve"> </w:t>
      </w:r>
      <w:r>
        <w:t xml:space="preserve">დაკვირვებისა</w:t>
      </w:r>
      <w:r>
        <w:t xml:space="preserve"> </w:t>
      </w:r>
      <w:r>
        <w:t xml:space="preserve">და</w:t>
      </w:r>
      <w:r>
        <w:t xml:space="preserve"> </w:t>
      </w:r>
      <w:r>
        <w:t xml:space="preserve">შეტყობინების</w:t>
      </w:r>
      <w:r>
        <w:t xml:space="preserve"> </w:t>
      </w:r>
      <w:r>
        <w:t xml:space="preserve">ჩანაწერი</w:t>
      </w:r>
    </w:p>
    <w:bookmarkStart w:id="32" w:name="X44553af97deb88ca3ec8917cfa06fad8c526f7d"/>
    <w:p>
      <w:pPr>
        <w:pStyle w:val="Heading1"/>
      </w:pPr>
      <w:r>
        <w:t xml:space="preserve">DGN-FRM-001: ღირსების დაკვირვებისა და შეტყობინების ჩანაწერი</w:t>
      </w:r>
    </w:p>
    <w:p>
      <w:pPr>
        <w:pStyle w:val="FirstParagraph"/>
      </w:pPr>
      <w:hyperlink r:id="rId20">
        <w:r>
          <w:rPr>
            <w:rStyle w:val="Hyperlink"/>
          </w:rPr>
          <w:t xml:space="preserve">სტანდარტები</w:t>
        </w:r>
      </w:hyperlink>
      <w:r>
        <w:t xml:space="preserve"> </w:t>
      </w:r>
      <w:r>
        <w:t xml:space="preserve">›</w:t>
      </w:r>
      <w:r>
        <w:t xml:space="preserve"> </w:t>
      </w:r>
      <w:hyperlink r:id="rId21">
        <w:r>
          <w:rPr>
            <w:rStyle w:val="Hyperlink"/>
          </w:rPr>
          <w:t xml:space="preserve">სტანდარტი 49</w:t>
        </w:r>
      </w:hyperlink>
      <w:r>
        <w:t xml:space="preserve"> </w:t>
      </w:r>
      <w:r>
        <w:t xml:space="preserve">›</w:t>
      </w:r>
      <w:r>
        <w:t xml:space="preserve"> </w:t>
      </w:r>
      <w:hyperlink r:id="rId22">
        <w:r>
          <w:rPr>
            <w:rStyle w:val="Hyperlink"/>
          </w:rPr>
          <w:t xml:space="preserve">ფორმები</w:t>
        </w:r>
      </w:hyperlink>
    </w:p>
    <w:p>
      <w:pPr>
        <w:pStyle w:val="BodyText"/>
      </w:pPr>
      <w:r>
        <w:t xml:space="preserve">ფორმა · DGN-FRM-001 · ვერსია 1.0 · დამტკიცებულია ASF ექსპერტთა კომიტეტის მიერ</w:t>
      </w:r>
    </w:p>
    <w:p>
      <w:pPr>
        <w:pStyle w:val="BodyText"/>
      </w:pPr>
      <w:r>
        <w:rPr>
          <w:bCs/>
          <w:b/>
        </w:rPr>
        <w:t xml:space="preserve">მხარს უჭერს:</w:t>
      </w:r>
      <w:r>
        <w:t xml:space="preserve"> </w:t>
      </w:r>
      <w:hyperlink r:id="rId23">
        <w:r>
          <w:rPr>
            <w:rStyle w:val="Hyperlink"/>
          </w:rPr>
          <w:t xml:space="preserve">49.4</w:t>
        </w:r>
      </w:hyperlink>
    </w:p>
    <w:bookmarkStart w:id="24" w:name="მიზანი"/>
    <w:p>
      <w:pPr>
        <w:pStyle w:val="Heading2"/>
      </w:pPr>
      <w:r>
        <w:t xml:space="preserve">მიზანი</w:t>
      </w:r>
    </w:p>
    <w:p>
      <w:pPr>
        <w:pStyle w:val="FirstParagraph"/>
      </w:pPr>
      <w:r>
        <w:t xml:space="preserve">ჩაიწერება ღირსების დაკვირვების ყოველი შემთხვევა და ღირსების დარღვევის ან მოვლაზე უარის ყოველი შეტყობინება და მისი განხილვა.</w:t>
      </w:r>
    </w:p>
    <w:bookmarkEnd w:id="24"/>
    <w:bookmarkStart w:id="25" w:name="შევსების-წესი"/>
    <w:p>
      <w:pPr>
        <w:pStyle w:val="Heading2"/>
      </w:pPr>
      <w:r>
        <w:t xml:space="preserve">შევსების წესი</w:t>
      </w:r>
    </w:p>
    <w:p>
      <w:pPr>
        <w:numPr>
          <w:ilvl w:val="0"/>
          <w:numId w:val="1001"/>
        </w:numPr>
        <w:pStyle w:val="Compact"/>
      </w:pPr>
      <w:r>
        <w:t xml:space="preserve">ყოველთვიურად დააკვირდით ურთიერთქმედების ნიმუშს და ჩაწერეთ შედეგები.</w:t>
      </w:r>
    </w:p>
    <w:p>
      <w:pPr>
        <w:numPr>
          <w:ilvl w:val="0"/>
          <w:numId w:val="1001"/>
        </w:numPr>
        <w:pStyle w:val="Compact"/>
      </w:pPr>
      <w:r>
        <w:t xml:space="preserve">ჩაწერეთ ყოველი დარღვევის ან უარის შეტყობინება და ვინ იყო ჩართული.</w:t>
      </w:r>
    </w:p>
    <w:p>
      <w:pPr>
        <w:numPr>
          <w:ilvl w:val="0"/>
          <w:numId w:val="1001"/>
        </w:numPr>
        <w:pStyle w:val="Compact"/>
      </w:pPr>
      <w:r>
        <w:t xml:space="preserve">ჩაწერეთ განხილვა და მიღებული ზომა.</w:t>
      </w:r>
    </w:p>
    <w:bookmarkEnd w:id="25"/>
    <w:bookmarkStart w:id="26" w:name="შემოწმებები"/>
    <w:p>
      <w:pPr>
        <w:pStyle w:val="Heading2"/>
      </w:pPr>
      <w:r>
        <w:t xml:space="preserve">შემოწმებები</w:t>
      </w:r>
    </w:p>
    <w:tbl>
      <w:tblPr>
        <w:tblStyle w:val="Table"/>
        <w:tblW w:type="auto" w:w="0"/>
        <w:tblLook w:firstRow="1" w:lastRow="0" w:firstColumn="0" w:lastColumn="0" w:noHBand="0" w:noVBand="0" w:val="0020"/>
        <w:jc w:val="start"/>
      </w:tblPr>
      <w:tblGrid>
        <w:gridCol w:w="3960"/>
        <w:gridCol w:w="396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შემოწმება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ჩანაწერი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თარიღი და პალატა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დიახ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დაკვირვების შედეგი (დარღვევა არ არის ან დარღვევა გამოვლინდა)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დიახ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შეტყობინება და ვინ იყო ჩართული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დიახ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განხილვა და მიღებული ზომა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დიახ</w:t>
            </w:r>
          </w:p>
        </w:tc>
      </w:tr>
    </w:tbl>
    <w:bookmarkEnd w:id="26"/>
    <w:bookmarkStart w:id="27" w:name="მტკიცებულებები"/>
    <w:p>
      <w:pPr>
        <w:pStyle w:val="Heading2"/>
      </w:pPr>
      <w:r>
        <w:t xml:space="preserve">მტკიცებულებები</w:t>
      </w:r>
    </w:p>
    <w:tbl>
      <w:tblPr>
        <w:tblStyle w:val="Table"/>
        <w:tblW w:type="auto" w:w="0"/>
        <w:tblLook w:firstRow="1" w:lastRow="0" w:firstColumn="0" w:lastColumn="0" w:noHBand="0" w:noVBand="0" w:val="0020"/>
        <w:jc w:val="start"/>
      </w:tblPr>
      <w:tblGrid>
        <w:gridCol w:w="3960"/>
        <w:gridCol w:w="396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წყარო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შენიშვნა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E-006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ASF Policy Framework v1.2. ადაპტირებული.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E-009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ASF ექსპერტთა კომიტეტის კონსენსუსი.</w:t>
            </w:r>
          </w:p>
        </w:tc>
      </w:tr>
    </w:tbl>
    <w:bookmarkEnd w:id="27"/>
    <w:bookmarkStart w:id="28" w:name="ცვლილებების-ისტორია"/>
    <w:p>
      <w:pPr>
        <w:pStyle w:val="Heading2"/>
      </w:pPr>
      <w:r>
        <w:t xml:space="preserve">ცვლილებების ისტორია</w:t>
      </w:r>
    </w:p>
    <w:tbl>
      <w:tblPr>
        <w:tblStyle w:val="Table"/>
        <w:tblW w:type="auto" w:w="0"/>
        <w:tblLook w:firstRow="1" w:lastRow="0" w:firstColumn="0" w:lastColumn="0" w:noHBand="0" w:noVBand="0" w:val="0020"/>
        <w:jc w:val="start"/>
      </w:tblPr>
      <w:tblGrid>
        <w:gridCol w:w="1980"/>
        <w:gridCol w:w="1980"/>
        <w:gridCol w:w="1980"/>
        <w:gridCol w:w="198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ვერსია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თარიღი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რა შეიცვალა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დამტკიცება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1.0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  <w:jc w:val="left"/>
            </w:pPr>
            <w:r>
              <w:t xml:space="preserve">პირველი ვერსია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ASF ექსპერტთა კომიტეტის დამტკიცება</w:t>
            </w:r>
          </w:p>
        </w:tc>
      </w:tr>
    </w:tbl>
    <w:bookmarkEnd w:id="28"/>
    <w:bookmarkStart w:id="30" w:name="ამ-დოკუმენტის-ელექტრონული-სწავლება"/>
    <w:p>
      <w:pPr>
        <w:pStyle w:val="Heading2"/>
      </w:pPr>
      <w:r>
        <w:t xml:space="preserve">ამ დოკუმენტის ელექტრონული სწავლება</w:t>
      </w:r>
    </w:p>
    <w:p>
      <w:pPr>
        <w:numPr>
          <w:ilvl w:val="0"/>
          <w:numId w:val="1002"/>
        </w:numPr>
        <w:pStyle w:val="Compact"/>
      </w:pPr>
      <w:hyperlink r:id="rId29">
        <w:r>
          <w:rPr>
            <w:rStyle w:val="Hyperlink"/>
          </w:rPr>
          <w:t xml:space="preserve">Patient Identification, Informed Consent and Patient Rights</w:t>
        </w:r>
      </w:hyperlink>
      <w:r>
        <w:t xml:space="preserve"> </w:t>
      </w:r>
      <w:r>
        <w:t xml:space="preserve">(T-07)</w:t>
      </w:r>
    </w:p>
    <w:bookmarkEnd w:id="30"/>
    <w:bookmarkStart w:id="31" w:name="წყაროები"/>
    <w:p>
      <w:pPr>
        <w:pStyle w:val="Heading2"/>
      </w:pPr>
      <w:r>
        <w:t xml:space="preserve">წყაროები</w:t>
      </w:r>
    </w:p>
    <w:p>
      <w:pPr>
        <w:numPr>
          <w:ilvl w:val="0"/>
          <w:numId w:val="1003"/>
        </w:numPr>
        <w:pStyle w:val="Compact"/>
      </w:pPr>
      <w:r>
        <w:t xml:space="preserve">Accréditation Sans Frontières (2026). ASF Policy Framework v1.2.</w:t>
      </w:r>
      <w:r>
        <w:t xml:space="preserve"> </w:t>
      </w:r>
      <w:r>
        <w:t xml:space="preserve">(E-006)</w:t>
      </w:r>
    </w:p>
    <w:p>
      <w:pPr>
        <w:numPr>
          <w:ilvl w:val="0"/>
          <w:numId w:val="1003"/>
        </w:numPr>
        <w:pStyle w:val="Compact"/>
      </w:pPr>
      <w:r>
        <w:t xml:space="preserve">Accréditation Sans Frontières (2026). ASF Expert Committee consensus on Standard 1.</w:t>
      </w:r>
      <w:r>
        <w:t xml:space="preserve"> </w:t>
      </w:r>
      <w:r>
        <w:t xml:space="preserve">(E-009)</w:t>
      </w:r>
    </w:p>
    <w:bookmarkEnd w:id="31"/>
    <w:bookmarkEnd w:id="3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ka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Title" w:type="paragraph">
    <w:name w:val="Abstract Title"/>
    <w:basedOn w:val="Normal"/>
    <w:next w:val="Abstract"/>
    <w:qFormat/>
    <w:pPr>
      <w:keepNext/>
      <w:keepLines/>
      <w:jc w:val="center"/>
      <w:spacing w:after="0" w:before="300"/>
    </w:pPr>
    <w:rPr>
      <w:sz w:val="20"/>
      <w:szCs w:val="20"/>
      <w:b/>
      <w:color w:val="345A8A"/>
      &gt;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/ka/resources/forms/" TargetMode="External" /><Relationship Type="http://schemas.openxmlformats.org/officeDocument/2006/relationships/hyperlink" Id="rId20" Target="/ka/standards/" TargetMode="External" /><Relationship Type="http://schemas.openxmlformats.org/officeDocument/2006/relationships/hyperlink" Id="rId21" Target="/ka/standards/standard-49/" TargetMode="External" /><Relationship Type="http://schemas.openxmlformats.org/officeDocument/2006/relationships/hyperlink" Id="rId23" Target="/ka/standards/standard-49/#c49-4" TargetMode="External" /><Relationship Type="http://schemas.openxmlformats.org/officeDocument/2006/relationships/hyperlink" Id="rId29" Target="https://academy.gmj.ge/courses/asf-t-07-en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/ka/resources/forms/" TargetMode="External" /><Relationship Type="http://schemas.openxmlformats.org/officeDocument/2006/relationships/hyperlink" Id="rId20" Target="/ka/standards/" TargetMode="External" /><Relationship Type="http://schemas.openxmlformats.org/officeDocument/2006/relationships/hyperlink" Id="rId21" Target="/ka/standards/standard-49/" TargetMode="External" /><Relationship Type="http://schemas.openxmlformats.org/officeDocument/2006/relationships/hyperlink" Id="rId23" Target="/ka/standards/standard-49/#c49-4" TargetMode="External" /><Relationship Type="http://schemas.openxmlformats.org/officeDocument/2006/relationships/hyperlink" Id="rId29" Target="https://academy.gmj.ge/courses/asf-t-07-en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DGN-FRM-001: ღირსების დაკვირვებისა და შეტყობინების ჩანაწერი</dc:title>
  <dc:creator/>
  <dc:language>ka</dc:language>
  <cp:keywords/>
  <dcterms:created xsi:type="dcterms:W3CDTF">2026-11-07T01:01:09Z</dcterms:created>
  <dcterms:modified xsi:type="dcterms:W3CDTF">2026-11-07T01:01:09Z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