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49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პოლიტიკები</w:t>
        </w:r>
      </w:hyperlink>
    </w:p>
    <w:p>
      <w:pPr>
        <w:pStyle w:val="BodyText"/>
      </w:pPr>
      <w:r>
        <w:t xml:space="preserve">პოლიტიკა · DGN-POL-001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49.4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პაციენტებს ექცევიან კონფიდენციალურობის, ღირსებისა და კულტურული და რელიგიური საჭიროებების პატივისცემით (HSP-SOP-002).</w:t>
      </w:r>
    </w:p>
    <w:p>
      <w:pPr>
        <w:numPr>
          <w:ilvl w:val="0"/>
          <w:numId w:val="1001"/>
        </w:numPr>
        <w:pStyle w:val="Compact"/>
      </w:pPr>
      <w:r>
        <w:t xml:space="preserve">მზრუნველობა არ იკავება და არ იფერხება პაციენტის identity-ის, სტატუსის ან წარმომავლობის გამო.</w:t>
      </w:r>
    </w:p>
    <w:p>
      <w:pPr>
        <w:numPr>
          <w:ilvl w:val="0"/>
          <w:numId w:val="1001"/>
        </w:numPr>
        <w:pStyle w:val="Compact"/>
      </w:pPr>
      <w:r>
        <w:t xml:space="preserve">საჭიროების შემთხვევაში გამოიყენება თარჯიმნები და კულტურული შუამავლები (HMG-POL-003).</w:t>
      </w:r>
    </w:p>
    <w:p>
      <w:pPr>
        <w:numPr>
          <w:ilvl w:val="0"/>
          <w:numId w:val="1001"/>
        </w:numPr>
        <w:pStyle w:val="Compact"/>
      </w:pPr>
      <w:r>
        <w:t xml:space="preserve">ღირსების დარღვევები ეცნობება და ყოველი შეტყობინება განიხილება (DGN-FRM-001).</w:t>
      </w:r>
    </w:p>
    <w:p>
      <w:pPr>
        <w:numPr>
          <w:ilvl w:val="0"/>
          <w:numId w:val="1001"/>
        </w:numPr>
        <w:pStyle w:val="Compact"/>
      </w:pPr>
      <w:r>
        <w:t xml:space="preserve">შეაჩერეთ და დაუყოვნებლივ მიმართეთ დახმარებას, თუ: პაციენტს მზრუნველობა უარეს ან შეაფერხეს მისი identity-ის, სტატუსის ან წარმომავლობის გამო.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ყოველი პაციენტი მოექცეს ღირსებით, კონფიდენციალურობითა და პატივისცემით მისი კულტურული და რელიგიური საჭიროებების მიმართ (49.4).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სტაციონარის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დაფარულია დოკუმენტით, ჩამოთვლილი მე-15 პუნქტში</w:t>
            </w:r>
          </w:p>
        </w:tc>
      </w:tr>
    </w:tbl>
    <w:bookmarkEnd w:id="25"/>
    <w:bookmarkStart w:id="26" w:name="ტერმინთა-განმარტებები"/>
    <w:p>
      <w:pPr>
        <w:pStyle w:val="Heading2"/>
      </w:pPr>
      <w:r>
        <w:t xml:space="preserve">3. ტერმინთა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ამ მომენტში პასუხისმგებელია ამ მიმართულებაზე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პაციენტები, რომლებიც კვდებიან ან მძიმედ არიან ავადმყოფი, მაინც ინარჩუნებენ კონფიდენციალურობას, ღირსებასა და საკუთარ რწმენას. მათი პატივისცემა ყოველ ურთიერთობაში მზრუნველობის ნაწილია და არა დამატება.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ყოველი თანამშრომელი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ექცევა ყოველ პაციენტს ღირსებით და აცნობებს ნებისმიერ დარღვევას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განყოფილების მენეჯერი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განყოფილების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ხელახლა განიხილავს დარღვევებს და უზრუნველყოფს კონფიდენციალურობის დაცვას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გამოყენებამდე მოწმდება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შეაჩერეთ და გამოიძახეთ დახმარება, თუ პაციენტი უშუალო რისკის ქვეშაა. არ გადადოთ გადაუდებელი მკურნალობა დოკუმენტაციის შევსების გამო.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დარწმუნდით, რომ დოკუმენტში დასახელებული ფორმები და აღჭურვილობა ხელმისაწვდომია და აქტუალურია.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პატივისცემა.</w:t>
      </w:r>
    </w:p>
    <w:p>
      <w:pPr>
        <w:numPr>
          <w:ilvl w:val="0"/>
          <w:numId w:val="1004"/>
        </w:numPr>
        <w:pStyle w:val="Compact"/>
      </w:pPr>
      <w:r>
        <w:t xml:space="preserve">დაიცავით კონფიდენციალურობა და პატივი სცით კულტურულ და რელიგიურ საჭიროებებს ყოველ ურთიერთობაში.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პატივი სცეს.</w:t>
      </w:r>
    </w:p>
    <w:p>
      <w:pPr>
        <w:pStyle w:val="BodyText"/>
      </w:pPr>
      <w:r>
        <w:t xml:space="preserve">ნაბიჯი 2. შეტყობინება.</w:t>
      </w:r>
    </w:p>
    <w:p>
      <w:pPr>
        <w:numPr>
          <w:ilvl w:val="0"/>
          <w:numId w:val="1005"/>
        </w:numPr>
        <w:pStyle w:val="Compact"/>
      </w:pPr>
      <w:r>
        <w:t xml:space="preserve">აცნობეთ ღირსების ნებისმიერ დარღვევას ან მზრუნველობაზე უარს identity-ის ან წარმომავლობის გამო.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შეტყობინებულია.</w:t>
      </w:r>
    </w:p>
    <w:p>
      <w:pPr>
        <w:pStyle w:val="BodyText"/>
      </w:pPr>
      <w:r>
        <w:t xml:space="preserve">ნაბიჯი 3. განხილვა.</w:t>
      </w:r>
    </w:p>
    <w:p>
      <w:pPr>
        <w:numPr>
          <w:ilvl w:val="0"/>
          <w:numId w:val="1006"/>
        </w:numPr>
        <w:pStyle w:val="Compact"/>
      </w:pPr>
      <w:r>
        <w:t xml:space="preserve">განიხილეთ ყოველი შეტყობინება და იმოქმედეთ დასკვნების მიხედვით (DGN-FRM-001).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განხილულია.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იმავე ნაბიჯებს. გამოიყენეთ სამორიგეო საკონტაქტო ინფორმაცია, რომელიც არის ამ მიმართულების კედელზე.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ნებისმიერი სერიოზული პრობლემა დაუყოვნებლივ გადაეცემა მოვალეობის მქონე კლინიკურ ხელმძღვანელს, ხოლო იმავე დღეს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საზომი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ღირსების დაკვირვებები დარღვევის გარეშე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განყოფილების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განყოფილების პრაქტიკის განხილვა 7 დღეში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შეტყობინებები განხილულია 7 დღეში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განყოფილების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კლინიკურ ხელმძღვანელთან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მიმართულების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ტრენინგი"/>
    <w:p>
      <w:pPr>
        <w:pStyle w:val="Heading2"/>
      </w:pPr>
      <w:r>
        <w:t xml:space="preserve">15. ტრენინგი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ტრენინგდება დასაქმებისას და ყოველ წელს განახლდება, ჩაწერილი კომპეტენციის შემოწმებით.</w:t>
      </w:r>
    </w:p>
    <w:bookmarkEnd w:id="38"/>
    <w:bookmarkStart w:id="41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DGN-FRM-001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ღირსების დაკვირვებისა და შეტყობინების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HSP-SOP-002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სულიერი, კულტურული და ფსიქოლოგიური საჭიროებები (არსებული, ხელახლა გამოყენებული)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SOP</w:t>
            </w:r>
          </w:p>
        </w:tc>
      </w:tr>
    </w:tbl>
    <w:bookmarkEnd w:id="41"/>
    <w:bookmarkStart w:id="42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პოლიტიკის ჩარჩო v1.2. ადაპტირებულია.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2"/>
    <w:bookmarkStart w:id="43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ექსპერტთა კომიტეტის დამტკიცება</w:t>
            </w:r>
          </w:p>
        </w:tc>
      </w:tr>
    </w:tbl>
    <w:bookmarkEnd w:id="43"/>
    <w:bookmarkStart w:id="45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hyperlink r:id="rId44">
        <w:r>
          <w:rPr>
            <w:rStyle w:val="Hyperlink"/>
          </w:rPr>
          <w:t xml:space="preserve">პაციენტის იდენტიფიკაცია, ინფორმირებული თანხმობა და პაციენტის უფლებები</w:t>
        </w:r>
      </w:hyperlink>
      <w:r>
        <w:t xml:space="preserve"> </w:t>
      </w:r>
      <w:r>
        <w:t xml:space="preserve">(T-07)</w:t>
      </w:r>
    </w:p>
    <w:bookmarkEnd w:id="45"/>
    <w:bookmarkStart w:id="48" w:name="ციტირებული-წყაროები"/>
    <w:p>
      <w:pPr>
        <w:pStyle w:val="Heading2"/>
      </w:pPr>
      <w:r>
        <w:t xml:space="preserve">ციტირებული 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პოლიტიკის ჩარჩო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ექსპერტთა კომიტეტის კონსენსუსი სტანდარტ 1-ზე.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6">
        <w:r>
          <w:rPr>
            <w:rStyle w:val="Hyperlink"/>
          </w:rPr>
          <w:t xml:space="preserve">ჩამოტვირთეთ დოკუმენტი PDF ფორმატში</w:t>
        </w:r>
      </w:hyperlink>
    </w:p>
    <w:p>
      <w:pPr>
        <w:pStyle w:val="BodyText"/>
      </w:pPr>
      <w:hyperlink r:id="rId47">
        <w:r>
          <w:rPr>
            <w:rStyle w:val="Hyperlink"/>
          </w:rPr>
          <w:t xml:space="preserve">ჩამოტვირთეთ დოკუმენტი რედაქტირებადი Word ფაილის სახით</w:t>
        </w:r>
      </w:hyperlink>
    </w:p>
    <w:bookmarkEnd w:id="4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ka/documents/dgn-frm-001/" TargetMode="External" /><Relationship Type="http://schemas.openxmlformats.org/officeDocument/2006/relationships/hyperlink" Id="rId40" Target="/ka/documents/hsp-sop-002/" TargetMode="External" /><Relationship Type="http://schemas.openxmlformats.org/officeDocument/2006/relationships/hyperlink" Id="rId22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49/" TargetMode="External" /><Relationship Type="http://schemas.openxmlformats.org/officeDocument/2006/relationships/hyperlink" Id="rId23" Target="/ka/standards/standard-49/#c49-4" TargetMode="External" /><Relationship Type="http://schemas.openxmlformats.org/officeDocument/2006/relationships/hyperlink" Id="rId44" Target="https://academy.gmj.ge/courses/asf-t-07-en/" TargetMode="External" /><Relationship Type="http://schemas.openxmlformats.org/officeDocument/2006/relationships/hyperlink" Id="rId47" Target="https://france-asf.fr/wp-content/uploads/2026/10/dgn-pol-001-form-1.docx" TargetMode="External" /><Relationship Type="http://schemas.openxmlformats.org/officeDocument/2006/relationships/hyperlink" Id="rId46" Target="https://france-asf.fr/wp-content/uploads/2026/10/dgn-pol-001-form-a4-1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ka/documents/dgn-frm-001/" TargetMode="External" /><Relationship Type="http://schemas.openxmlformats.org/officeDocument/2006/relationships/hyperlink" Id="rId40" Target="/ka/documents/hsp-sop-002/" TargetMode="External" /><Relationship Type="http://schemas.openxmlformats.org/officeDocument/2006/relationships/hyperlink" Id="rId22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49/" TargetMode="External" /><Relationship Type="http://schemas.openxmlformats.org/officeDocument/2006/relationships/hyperlink" Id="rId23" Target="/ka/standards/standard-49/#c49-4" TargetMode="External" /><Relationship Type="http://schemas.openxmlformats.org/officeDocument/2006/relationships/hyperlink" Id="rId44" Target="https://academy.gmj.ge/courses/asf-t-07-en/" TargetMode="External" /><Relationship Type="http://schemas.openxmlformats.org/officeDocument/2006/relationships/hyperlink" Id="rId47" Target="https://france-asf.fr/wp-content/uploads/2026/10/dgn-pol-001-form-1.docx" TargetMode="External" /><Relationship Type="http://schemas.openxmlformats.org/officeDocument/2006/relationships/hyperlink" Id="rId46" Target="https://france-asf.fr/wp-content/uploads/2026/10/dgn-pol-001-form-a4-1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ka</dc:language>
  <cp:keywords/>
  <dcterms:created xsi:type="dcterms:W3CDTF">2026-11-07T01:22:09Z</dcterms:created>
  <dcterms:modified xsi:type="dcterms:W3CDTF">2026-11-07T01:22:09Z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