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5a691ea68c6b63884e3638e4b1f20f79684f0b4"/>
    <w:p>
      <w:pPr>
        <w:pStyle w:val="Heading1"/>
      </w:pPr>
      <w:r>
        <w:t xml:space="preserve">DIA-POL-002: დიალიზატორის ხელმეორედ გამოყენება და რეპროცესირება</w:t>
      </w:r>
    </w:p>
    <w:p>
      <w:pPr>
        <w:pStyle w:val="FirstParagraph"/>
      </w:pPr>
      <w:hyperlink r:id="rId20">
        <w:r>
          <w:rPr>
            <w:rStyle w:val="Hyperlink"/>
          </w:rPr>
          <w:t xml:space="preserve">სტანდარტები</w:t>
        </w:r>
      </w:hyperlink>
      <w:r>
        <w:t xml:space="preserve"> </w:t>
      </w:r>
      <w:r>
        <w:t xml:space="preserve">›</w:t>
      </w:r>
      <w:r>
        <w:t xml:space="preserve"> </w:t>
      </w:r>
      <w:hyperlink r:id="rId21">
        <w:r>
          <w:rPr>
            <w:rStyle w:val="Hyperlink"/>
          </w:rPr>
          <w:t xml:space="preserve">სტანდარტი 26</w:t>
        </w:r>
      </w:hyperlink>
      <w:r>
        <w:t xml:space="preserve"> </w:t>
      </w:r>
      <w:r>
        <w:t xml:space="preserve">›</w:t>
      </w:r>
      <w:r>
        <w:t xml:space="preserve"> </w:t>
      </w:r>
      <w:hyperlink r:id="rId22">
        <w:r>
          <w:rPr>
            <w:rStyle w:val="Hyperlink"/>
          </w:rPr>
          <w:t xml:space="preserve">პოლიტიკები</w:t>
        </w:r>
      </w:hyperlink>
    </w:p>
    <w:p>
      <w:pPr>
        <w:pStyle w:val="BodyText"/>
      </w:pPr>
      <w:r>
        <w:t xml:space="preserve">პოლიტიკა · DIA-POL-002 · ვერსია 1.0 · დამტკიცებულია ASF ექსპერტთა კომიტეტის მიერ</w:t>
      </w:r>
    </w:p>
    <w:p>
      <w:pPr>
        <w:pStyle w:val="BodyText"/>
      </w:pPr>
      <w:r>
        <w:rPr>
          <w:bCs/>
          <w:b/>
        </w:rPr>
        <w:t xml:space="preserve">მხარს უჭერს:</w:t>
      </w:r>
      <w:r>
        <w:t xml:space="preserve"> </w:t>
      </w:r>
      <w:hyperlink r:id="rId23">
        <w:r>
          <w:rPr>
            <w:rStyle w:val="Hyperlink"/>
          </w:rPr>
          <w:t xml:space="preserve">26.4</w:t>
        </w:r>
      </w:hyperlink>
    </w:p>
    <w:p>
      <w:pPr>
        <w:pStyle w:val="BodyText"/>
      </w:pPr>
      <w:r>
        <w:t xml:space="preserve">მოკლედ</w:t>
      </w:r>
    </w:p>
    <w:p>
      <w:pPr>
        <w:numPr>
          <w:ilvl w:val="0"/>
          <w:numId w:val="1001"/>
        </w:numPr>
        <w:pStyle w:val="Compact"/>
      </w:pPr>
      <w:r>
        <w:t xml:space="preserve">დიალიზატორი ხელმეორედ გამოიყენება მხოლოდ მაშინ, თუ მწარმოებელი მას ხელმეორედ გამოყენებისთვის მონიშნავს.</w:t>
      </w:r>
    </w:p>
    <w:p>
      <w:pPr>
        <w:numPr>
          <w:ilvl w:val="0"/>
          <w:numId w:val="1001"/>
        </w:numPr>
        <w:pStyle w:val="Compact"/>
      </w:pPr>
      <w:r>
        <w:t xml:space="preserve">რეპროცესირება მიჰყვება ვალიდირებულ პროცედურას, და ყოველი ციკლი აღირიცხება (DIA-REG-001).</w:t>
      </w:r>
    </w:p>
    <w:p>
      <w:pPr>
        <w:numPr>
          <w:ilvl w:val="0"/>
          <w:numId w:val="1001"/>
        </w:numPr>
        <w:pStyle w:val="Compact"/>
      </w:pPr>
      <w:r>
        <w:t xml:space="preserve">დიალიზატორი გამოიყენება მხოლოდ იმ პაციენტზე, საიდანაც იგი მოვიდა.</w:t>
      </w:r>
    </w:p>
    <w:p>
      <w:pPr>
        <w:numPr>
          <w:ilvl w:val="0"/>
          <w:numId w:val="1001"/>
        </w:numPr>
        <w:pStyle w:val="Compact"/>
      </w:pPr>
      <w:r>
        <w:t xml:space="preserve">დიალიზატორი, რომლის მიკვლევაც პაციენტამდე შეუძლებელია, არ გამოიყენება.</w:t>
      </w:r>
    </w:p>
    <w:p>
      <w:pPr>
        <w:numPr>
          <w:ilvl w:val="0"/>
          <w:numId w:val="1001"/>
        </w:numPr>
        <w:pStyle w:val="Compact"/>
      </w:pPr>
      <w:r>
        <w:t xml:space="preserve">დაუყოვნებლივ შეაჩერეთ და მიმართეთ დახმარებას, თუ: დიალიზატორი ხელმეორედ გამოიყენება იმ პაციენტისგან განსხვავებულ პაციენტზე, საიდანაც იგი მოვიდა.</w:t>
      </w:r>
    </w:p>
    <w:bookmarkStart w:id="24" w:name="მიზანი"/>
    <w:p>
      <w:pPr>
        <w:pStyle w:val="Heading2"/>
      </w:pPr>
      <w:r>
        <w:t xml:space="preserve">1. მიზანი</w:t>
      </w:r>
    </w:p>
    <w:p>
      <w:pPr>
        <w:pStyle w:val="FirstParagraph"/>
      </w:pPr>
      <w:r>
        <w:t xml:space="preserve">იმის უზრუნველსაყოფად, რომ დიალიზატორები ხელმეორედ გამოიყენება მხოლოდ დაშვებულ შემთხვევებში, უსაფრთხოდ რეპროცესირდება და მათი მიკვლევა პაციენტამდე ხდება (26.4).</w:t>
      </w:r>
    </w:p>
    <w:bookmarkEnd w:id="24"/>
    <w:bookmarkStart w:id="25" w:name="სფერო"/>
    <w:p>
      <w:pPr>
        <w:pStyle w:val="Heading2"/>
      </w:pPr>
      <w:r>
        <w:t xml:space="preserve">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საავადმყოფოს კლინიკური და დამხმარე პერსონალი</w:t>
            </w:r>
          </w:p>
        </w:tc>
      </w:tr>
      <w:tr>
        <w:tc>
          <w:tcPr/>
          <w:p>
            <w:pPr>
              <w:pStyle w:val="Compact"/>
              <w:jc w:val="left"/>
            </w:pPr>
            <w:r>
              <w:t xml:space="preserve">ადგილები</w:t>
            </w:r>
          </w:p>
        </w:tc>
        <w:tc>
          <w:tcPr/>
          <w:p>
            <w:pPr>
              <w:pStyle w:val="Compact"/>
              <w:jc w:val="left"/>
            </w:pPr>
            <w:r>
              <w:t xml:space="preserve">დაწესებულების ყველა პალატა, კლინიკა და განყოფილება</w:t>
            </w:r>
          </w:p>
        </w:tc>
      </w:tr>
      <w:tr>
        <w:tc>
          <w:tcPr/>
          <w:p>
            <w:pPr>
              <w:pStyle w:val="Compact"/>
              <w:jc w:val="left"/>
            </w:pPr>
            <w:r>
              <w:t xml:space="preserve">როდის</w:t>
            </w:r>
          </w:p>
        </w:tc>
        <w:tc>
          <w:tcPr/>
          <w:p>
            <w:pPr>
              <w:pStyle w:val="Compact"/>
              <w:jc w:val="left"/>
            </w:pPr>
            <w:r>
              <w:t xml:space="preserve">ყოველთვის, როცა სრულდება აღწერილი საქმიანობა</w:t>
            </w:r>
          </w:p>
        </w:tc>
      </w:tr>
      <w:tr>
        <w:tc>
          <w:tcPr/>
          <w:p>
            <w:pPr>
              <w:pStyle w:val="Compact"/>
              <w:jc w:val="left"/>
            </w:pPr>
            <w:r>
              <w:t xml:space="preserve">არ ვრცელდება</w:t>
            </w:r>
          </w:p>
        </w:tc>
        <w:tc>
          <w:tcPr/>
          <w:p>
            <w:pPr>
              <w:pStyle w:val="Compact"/>
              <w:jc w:val="left"/>
            </w:pPr>
            <w:r>
              <w:t xml:space="preserve">საქმიანობა, რომელსაც მოიცავს სხვა დოკუმენტი, ჩამოთვლილი მე-15 განყოფილებაში</w:t>
            </w:r>
          </w:p>
        </w:tc>
      </w:tr>
    </w:tbl>
    <w:bookmarkEnd w:id="25"/>
    <w:bookmarkStart w:id="26"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კლინიკური ხელმძღვანელი</w:t>
            </w:r>
          </w:p>
        </w:tc>
        <w:tc>
          <w:tcPr/>
          <w:p>
            <w:pPr>
              <w:pStyle w:val="Compact"/>
              <w:jc w:val="left"/>
            </w:pPr>
            <w:r>
              <w:t xml:space="preserve">ექიმი ან ექთანი, რომელიც ამ დროს უძღვება უბანს</w:t>
            </w:r>
          </w:p>
        </w:tc>
      </w:tr>
    </w:tbl>
    <w:bookmarkEnd w:id="26"/>
    <w:bookmarkStart w:id="27" w:name="საფუძვლები"/>
    <w:p>
      <w:pPr>
        <w:pStyle w:val="Heading2"/>
      </w:pPr>
      <w:r>
        <w:t xml:space="preserve">4. საფუძვლები</w:t>
      </w:r>
    </w:p>
    <w:p>
      <w:pPr>
        <w:pStyle w:val="FirstParagraph"/>
      </w:pPr>
      <w:r>
        <w:t xml:space="preserve">დიალიზატორები ხელმეორედ მხოლოდ ზოგიერთ სერვისში გამოიყენება და მხოლოდ მაშინ, როცა ისინი ხელმეორედ გამოსაყენებლად არის მონიშნული. ხელმეორედ გამოყენებული დიალიზატორი, რომელიც სათანადოდ არ არის გაწმენდილი ან მიკვლეული, შეიძლება ინფექცია გადასცეს ან სწორად ვერ იმუშაოს.</w:t>
      </w:r>
    </w:p>
    <w:bookmarkEnd w:id="27"/>
    <w:bookmarkStart w:id="28"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დიალიზის განყოფილების ხელმძღვანელი</w:t>
            </w:r>
          </w:p>
        </w:tc>
        <w:tc>
          <w:tcPr/>
          <w:p>
            <w:pPr>
              <w:pStyle w:val="Compact"/>
              <w:jc w:val="left"/>
            </w:pPr>
            <w:r>
              <w:t xml:space="preserve">ფლობს ხელმეორედ გამოყენებისა და რეპროცესირების წესს</w:t>
            </w:r>
          </w:p>
        </w:tc>
        <w:tc>
          <w:tcPr/>
          <w:p>
            <w:pPr>
              <w:pStyle w:val="Compact"/>
              <w:jc w:val="left"/>
            </w:pPr>
            <w:r>
              <w:t xml:space="preserve">კლინიცისტი ან მენეჯერი</w:t>
            </w:r>
          </w:p>
        </w:tc>
      </w:tr>
      <w:tr>
        <w:tc>
          <w:tcPr/>
          <w:p>
            <w:pPr>
              <w:pStyle w:val="Compact"/>
              <w:jc w:val="left"/>
            </w:pPr>
            <w:r>
              <w:t xml:space="preserve">რეპროცესირების პერსონალი</w:t>
            </w:r>
          </w:p>
        </w:tc>
        <w:tc>
          <w:tcPr/>
          <w:p>
            <w:pPr>
              <w:pStyle w:val="Compact"/>
              <w:jc w:val="left"/>
            </w:pPr>
            <w:r>
              <w:t xml:space="preserve">რეპროცესირება და ყოველი ციკლის აღნუსხვა</w:t>
            </w:r>
          </w:p>
        </w:tc>
        <w:tc>
          <w:tcPr/>
          <w:p>
            <w:pPr>
              <w:pStyle w:val="Compact"/>
              <w:jc w:val="left"/>
            </w:pPr>
            <w:r>
              <w:t xml:space="preserve">პერსონალი</w:t>
            </w:r>
          </w:p>
        </w:tc>
      </w:tr>
    </w:tbl>
    <w:bookmarkEnd w:id="28"/>
    <w:bookmarkStart w:id="29"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ერთეული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ამ დოკუმენტში მითითებული ჩანაწერები და ფორმები</w:t>
            </w:r>
          </w:p>
        </w:tc>
        <w:tc>
          <w:tcPr/>
          <w:p>
            <w:pPr>
              <w:pStyle w:val="Compact"/>
              <w:jc w:val="left"/>
            </w:pPr>
            <w:r>
              <w:t xml:space="preserve">მიმდინარე ვერსია</w:t>
            </w:r>
          </w:p>
        </w:tc>
        <w:tc>
          <w:tcPr/>
          <w:p>
            <w:pPr>
              <w:pStyle w:val="Compact"/>
              <w:jc w:val="left"/>
            </w:pPr>
            <w:r>
              <w:t xml:space="preserve">შემოწმებულია გამოყენებამდე</w:t>
            </w:r>
          </w:p>
        </w:tc>
      </w:tr>
    </w:tbl>
    <w:bookmarkEnd w:id="29"/>
    <w:bookmarkStart w:id="30" w:name="უსაფრთხოება"/>
    <w:p>
      <w:pPr>
        <w:pStyle w:val="Heading2"/>
      </w:pPr>
      <w:r>
        <w:t xml:space="preserve">7. უსაფრთხოება</w:t>
      </w:r>
    </w:p>
    <w:p>
      <w:pPr>
        <w:numPr>
          <w:ilvl w:val="0"/>
          <w:numId w:val="1002"/>
        </w:numPr>
        <w:pStyle w:val="Compact"/>
      </w:pPr>
      <w:r>
        <w:t xml:space="preserve">თუ პაციენტი პირდაპირ საფრთხის ქვეშაა, შეაჩერეთ საქმიანობა და გამოიძახეთ დახმარება. გადაუდებელი მოვლა არ გადადოთ დოკუმენტაციის შევსების გამო.</w:t>
      </w:r>
    </w:p>
    <w:bookmarkEnd w:id="30"/>
    <w:bookmarkStart w:id="31" w:name="დაწყებამდე"/>
    <w:p>
      <w:pPr>
        <w:pStyle w:val="Heading2"/>
      </w:pPr>
      <w:r>
        <w:t xml:space="preserve">8. დაწყებამდე</w:t>
      </w:r>
    </w:p>
    <w:p>
      <w:pPr>
        <w:numPr>
          <w:ilvl w:val="0"/>
          <w:numId w:val="1003"/>
        </w:numPr>
        <w:pStyle w:val="Compact"/>
      </w:pPr>
      <w:r>
        <w:t xml:space="preserve">დარწმუნდით, რომ ამ დოკუმენტში მითითებული ფორმები და აღჭურვილობა ხელმისაწვდომია და მიმდინარეა.</w:t>
      </w:r>
    </w:p>
    <w:bookmarkEnd w:id="31"/>
    <w:bookmarkStart w:id="32" w:name="პროცედურა"/>
    <w:p>
      <w:pPr>
        <w:pStyle w:val="Heading2"/>
      </w:pPr>
      <w:r>
        <w:t xml:space="preserve">9. პროცედურა</w:t>
      </w:r>
    </w:p>
    <w:p>
      <w:pPr>
        <w:pStyle w:val="FirstParagraph"/>
      </w:pPr>
      <w:r>
        <w:t xml:space="preserve">ეტაპი 1. მონიშვნის შემოწმება.</w:t>
      </w:r>
    </w:p>
    <w:p>
      <w:pPr>
        <w:numPr>
          <w:ilvl w:val="0"/>
          <w:numId w:val="1004"/>
        </w:numPr>
        <w:pStyle w:val="Compact"/>
      </w:pPr>
      <w:r>
        <w:t xml:space="preserve">რეპროცესირებამდე შეამოწმეთ, არის თუ არა დიალიზატორი ხელმეორედ გამოსაყენებლად მონიშნული.</w:t>
      </w:r>
    </w:p>
    <w:p>
      <w:pPr>
        <w:pStyle w:val="FirstParagraph"/>
      </w:pPr>
      <w:r>
        <w:rPr>
          <w:bCs/>
          <w:b/>
        </w:rPr>
        <w:t xml:space="preserve">მთავარი:</w:t>
      </w:r>
      <w:r>
        <w:t xml:space="preserve"> </w:t>
      </w:r>
      <w:r>
        <w:t xml:space="preserve">შემოწმებულია.</w:t>
      </w:r>
    </w:p>
    <w:p>
      <w:pPr>
        <w:pStyle w:val="BodyText"/>
      </w:pPr>
      <w:r>
        <w:t xml:space="preserve">ეტაპი 2. რეპროცესირება.</w:t>
      </w:r>
    </w:p>
    <w:p>
      <w:pPr>
        <w:numPr>
          <w:ilvl w:val="0"/>
          <w:numId w:val="1005"/>
        </w:numPr>
        <w:pStyle w:val="Compact"/>
      </w:pPr>
      <w:r>
        <w:t xml:space="preserve">რეპროცესირება ჩაატარეთ ვალიდირებული პროცედურით და ყოველი ციკლი აღნუსხეთ DIA-REG-001-ზე.</w:t>
      </w:r>
    </w:p>
    <w:p>
      <w:pPr>
        <w:pStyle w:val="FirstParagraph"/>
      </w:pPr>
      <w:r>
        <w:rPr>
          <w:bCs/>
          <w:b/>
        </w:rPr>
        <w:t xml:space="preserve">მთავარი:</w:t>
      </w:r>
      <w:r>
        <w:t xml:space="preserve"> </w:t>
      </w:r>
      <w:r>
        <w:t xml:space="preserve">რეპროცესირებულია.</w:t>
      </w:r>
    </w:p>
    <w:p>
      <w:pPr>
        <w:pStyle w:val="BodyText"/>
      </w:pPr>
      <w:r>
        <w:t xml:space="preserve">ეტაპი 3. მოძიება.</w:t>
      </w:r>
    </w:p>
    <w:p>
      <w:pPr>
        <w:numPr>
          <w:ilvl w:val="0"/>
          <w:numId w:val="1006"/>
        </w:numPr>
        <w:pStyle w:val="Compact"/>
      </w:pPr>
      <w:r>
        <w:t xml:space="preserve">დიალიზატორი შეინახეთ მის პაციენტთან და ციკლების რაოდენობასთან ერთად, და გამოიყენეთ მხოლოდ ამ პაციენტზე.</w:t>
      </w:r>
    </w:p>
    <w:p>
      <w:pPr>
        <w:pStyle w:val="FirstParagraph"/>
      </w:pPr>
      <w:r>
        <w:rPr>
          <w:bCs/>
          <w:b/>
        </w:rPr>
        <w:t xml:space="preserve">მთავარი:</w:t>
      </w:r>
      <w:r>
        <w:t xml:space="preserve"> </w:t>
      </w:r>
      <w:r>
        <w:t xml:space="preserve">მოძიებულია.</w:t>
      </w:r>
    </w:p>
    <w:bookmarkEnd w:id="32"/>
    <w:bookmarkStart w:id="33" w:name="გადაწყვეტილების-წერტილები"/>
    <w:p>
      <w:pPr>
        <w:pStyle w:val="Heading2"/>
      </w:pPr>
      <w:r>
        <w:t xml:space="preserve">10. გადაწყვეტილების წერტილები</w:t>
      </w:r>
    </w:p>
    <w:p>
      <w:pPr>
        <w:numPr>
          <w:ilvl w:val="0"/>
          <w:numId w:val="1007"/>
        </w:numPr>
        <w:pStyle w:val="Compact"/>
      </w:pPr>
      <w:r>
        <w:t xml:space="preserve">ამ პროცედურაში გადაწყვეტილების წერტილები არ არის.</w:t>
      </w:r>
    </w:p>
    <w:bookmarkEnd w:id="33"/>
    <w:bookmarkStart w:id="34"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არასამუშაო საათები</w:t>
            </w:r>
          </w:p>
        </w:tc>
        <w:tc>
          <w:tcPr/>
          <w:p>
            <w:pPr>
              <w:pStyle w:val="Compact"/>
              <w:jc w:val="left"/>
            </w:pPr>
            <w:r>
              <w:t xml:space="preserve">მიჰყევით იგივე ნაბიჯებს. გამოიყენეთ უბნის კედელზე მითითებული მორიგე საკონტაქტო ინფორმაცია.</w:t>
            </w:r>
          </w:p>
        </w:tc>
      </w:tr>
    </w:tbl>
    <w:bookmarkEnd w:id="34"/>
    <w:bookmarkStart w:id="35" w:name="ესკალაცია"/>
    <w:p>
      <w:pPr>
        <w:pStyle w:val="Heading2"/>
      </w:pPr>
      <w:r>
        <w:t xml:space="preserve">12. ესკალაცია</w:t>
      </w:r>
    </w:p>
    <w:p>
      <w:pPr>
        <w:numPr>
          <w:ilvl w:val="0"/>
          <w:numId w:val="1008"/>
        </w:numPr>
        <w:pStyle w:val="Compact"/>
      </w:pPr>
      <w:r>
        <w:t xml:space="preserve">ყოველი სერიოზული პრობლემა დაუყოვნებლივ გადაეცემა მორიგე კლინიკურ ხელმძღვანელს, ხოლო იმავე დღეს — კლინიკურ დირექტორს.</w:t>
      </w:r>
    </w:p>
    <w:bookmarkEnd w:id="35"/>
    <w:bookmarkStart w:id="36"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სამიზნე</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ხელმეორედ გამოყენებული დიალიზატორები, მიკვლეული იმავე პაციენტამდე და ციკლის ლიმიტის ფარგლებში</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დიალიზის განყოფილების ხელმძღვანელი</w:t>
            </w:r>
          </w:p>
        </w:tc>
        <w:tc>
          <w:tcPr/>
          <w:p>
            <w:pPr>
              <w:pStyle w:val="Compact"/>
              <w:jc w:val="left"/>
            </w:pPr>
            <w:r>
              <w:t xml:space="preserve">ესკალაცია სამედიცინო დირექტორთან</w:t>
            </w:r>
          </w:p>
        </w:tc>
      </w:tr>
    </w:tbl>
    <w:bookmarkEnd w:id="36"/>
    <w:bookmarkStart w:id="37"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ინახება</w:t>
            </w:r>
          </w:p>
        </w:tc>
        <w:tc>
          <w:tcPr/>
          <w:p>
            <w:pPr>
              <w:pStyle w:val="Compact"/>
              <w:jc w:val="left"/>
            </w:pPr>
            <w:r>
              <w:t xml:space="preserve">შენახვის ვადა</w:t>
            </w:r>
          </w:p>
        </w:tc>
      </w:tr>
      <w:tr>
        <w:tc>
          <w:tcPr/>
          <w:p>
            <w:pPr>
              <w:pStyle w:val="Compact"/>
              <w:jc w:val="left"/>
            </w:pPr>
            <w:r>
              <w:t xml:space="preserve">ამ დოკუმენტში მითითებული ჩანაწერი</w:t>
            </w:r>
          </w:p>
        </w:tc>
        <w:tc>
          <w:tcPr/>
          <w:p>
            <w:pPr>
              <w:pStyle w:val="Compact"/>
              <w:jc w:val="left"/>
            </w:pPr>
            <w:r>
              <w:t xml:space="preserve">პაციენტის ისტორია ან უბნის საქმე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7"/>
    <w:bookmarkStart w:id="38" w:name="ტრენინგი"/>
    <w:p>
      <w:pPr>
        <w:pStyle w:val="Heading2"/>
      </w:pPr>
      <w:r>
        <w:t xml:space="preserve">15. ტრენინგი</w:t>
      </w:r>
    </w:p>
    <w:p>
      <w:pPr>
        <w:numPr>
          <w:ilvl w:val="0"/>
          <w:numId w:val="1009"/>
        </w:numPr>
        <w:pStyle w:val="Compact"/>
      </w:pPr>
      <w:r>
        <w:t xml:space="preserve">პერსონალი ამ დოკუმენტში ივარჯიშებს ჩართვისას და ყოველ წელს განახლდება, დაფიქსირებული კომპეტენციის შემოწმებით.</w:t>
      </w:r>
    </w:p>
    <w:bookmarkEnd w:id="38"/>
    <w:bookmarkStart w:id="40"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r>
        <w:tc>
          <w:tcPr/>
          <w:p>
            <w:pPr>
              <w:pStyle w:val="Compact"/>
              <w:jc w:val="left"/>
            </w:pPr>
            <w:hyperlink r:id="rId39">
              <w:r>
                <w:rPr>
                  <w:rStyle w:val="Hyperlink"/>
                </w:rPr>
                <w:t xml:space="preserve">DIA-REG-001</w:t>
              </w:r>
            </w:hyperlink>
          </w:p>
        </w:tc>
        <w:tc>
          <w:tcPr/>
          <w:p>
            <w:pPr>
              <w:pStyle w:val="Compact"/>
              <w:jc w:val="left"/>
            </w:pPr>
            <w:r>
              <w:t xml:space="preserve">დიალიზატორის მიკვლევადობისა და რეპროცესირების რეგისტრი</w:t>
            </w:r>
          </w:p>
        </w:tc>
        <w:tc>
          <w:tcPr/>
          <w:p>
            <w:pPr>
              <w:pStyle w:val="Compact"/>
              <w:jc w:val="left"/>
            </w:pPr>
            <w:r>
              <w:t xml:space="preserve">რეგისტრი</w:t>
            </w:r>
          </w:p>
        </w:tc>
      </w:tr>
    </w:tbl>
    <w:bookmarkEnd w:id="40"/>
    <w:bookmarkStart w:id="41"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მითითება</w:t>
            </w:r>
          </w:p>
        </w:tc>
        <w:tc>
          <w:tcPr/>
          <w:p>
            <w:pPr>
              <w:pStyle w:val="Compact"/>
              <w:jc w:val="left"/>
            </w:pPr>
            <w:r>
              <w:t xml:space="preserve">შენიშვნა</w:t>
            </w:r>
          </w:p>
        </w:tc>
      </w:tr>
      <w:tr>
        <w:tc>
          <w:tcPr/>
          <w:p>
            <w:pPr>
              <w:pStyle w:val="Compact"/>
              <w:jc w:val="left"/>
            </w:pPr>
            <w:r>
              <w:t xml:space="preserve">E-009</w:t>
            </w:r>
          </w:p>
        </w:tc>
        <w:tc>
          <w:tcPr/>
          <w:p>
            <w:pPr>
              <w:pStyle w:val="Compact"/>
            </w:pPr>
          </w:p>
        </w:tc>
      </w:tr>
      <w:tr>
        <w:tc>
          <w:tcPr/>
          <w:p>
            <w:pPr>
              <w:pStyle w:val="Compact"/>
              <w:jc w:val="left"/>
            </w:pPr>
            <w:r>
              <w:t xml:space="preserve">E-006</w:t>
            </w:r>
          </w:p>
        </w:tc>
        <w:tc>
          <w:tcPr/>
          <w:p>
            <w:pPr>
              <w:pStyle w:val="Compact"/>
              <w:jc w:val="left"/>
            </w:pPr>
            <w:r>
              <w:t xml:space="preserve">ASF Policy Framework v1.2. Adapted.</w:t>
            </w:r>
          </w:p>
        </w:tc>
      </w:tr>
      <w:tr>
        <w:tc>
          <w:tcPr/>
          <w:p>
            <w:pPr>
              <w:pStyle w:val="Compact"/>
              <w:jc w:val="left"/>
            </w:pPr>
            <w:r>
              <w:t xml:space="preserve">E-009</w:t>
            </w:r>
          </w:p>
        </w:tc>
        <w:tc>
          <w:tcPr/>
          <w:p>
            <w:pPr>
              <w:pStyle w:val="Compact"/>
              <w:jc w:val="left"/>
            </w:pPr>
            <w:r>
              <w:t xml:space="preserve">ASF Expert Committee consensus.</w:t>
            </w:r>
          </w:p>
        </w:tc>
      </w:tr>
    </w:tbl>
    <w:bookmarkEnd w:id="41"/>
    <w:bookmarkStart w:id="42"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pPr>
          </w:p>
        </w:tc>
      </w:tr>
    </w:tbl>
    <w:bookmarkEnd w:id="42"/>
    <w:bookmarkStart w:id="44" w:name="ამ-დოკუმენტის-ელექტრონული-სწავლება"/>
    <w:p>
      <w:pPr>
        <w:pStyle w:val="Heading2"/>
      </w:pPr>
      <w:r>
        <w:t xml:space="preserve">ამ დოკუმენტის ელექტრონული სწავლება</w:t>
      </w:r>
    </w:p>
    <w:p>
      <w:pPr>
        <w:numPr>
          <w:ilvl w:val="0"/>
          <w:numId w:val="1010"/>
        </w:numPr>
        <w:pStyle w:val="Compact"/>
      </w:pPr>
      <w:hyperlink r:id="rId43">
        <w:r>
          <w:rPr>
            <w:rStyle w:val="Hyperlink"/>
          </w:rPr>
          <w:t xml:space="preserve">Dialysis &amp; Renal Replacement Therapy</w:t>
        </w:r>
      </w:hyperlink>
      <w:r>
        <w:t xml:space="preserve"> </w:t>
      </w:r>
      <w:r>
        <w:t xml:space="preserve">(AMB-12)</w:t>
      </w:r>
    </w:p>
    <w:bookmarkEnd w:id="44"/>
    <w:bookmarkStart w:id="45" w:name="წყაროები"/>
    <w:p>
      <w:pPr>
        <w:pStyle w:val="Heading2"/>
      </w:pPr>
      <w:r>
        <w:t xml:space="preserve">წყაროები</w:t>
      </w:r>
    </w:p>
    <w:p>
      <w:pPr>
        <w:numPr>
          <w:ilvl w:val="0"/>
          <w:numId w:val="1011"/>
        </w:numPr>
        <w:pStyle w:val="Compact"/>
      </w:pPr>
      <w:r>
        <w:t xml:space="preserve">Accréditation Sans Frontières (2026). ASF Policy Framework v1.2.</w:t>
      </w:r>
      <w:r>
        <w:t xml:space="preserve"> </w:t>
      </w:r>
      <w:r>
        <w:t xml:space="preserve">(E-006)</w:t>
      </w:r>
    </w:p>
    <w:p>
      <w:pPr>
        <w:numPr>
          <w:ilvl w:val="0"/>
          <w:numId w:val="1011"/>
        </w:numPr>
        <w:pStyle w:val="Compact"/>
      </w:pPr>
      <w:r>
        <w:t xml:space="preserve">Accréditation Sans Frontières (2026). ASF Expert Committee consensus on Standard 1.</w:t>
      </w:r>
      <w:r>
        <w:t xml:space="preserve"> </w:t>
      </w:r>
      <w:r>
        <w:t xml:space="preserve">(E-009)</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Sylfaen" w:hAnsi="Sylfaen"/>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Sylfaen" w:hAnsi="Sylfaen"/>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documents/dia-reg-001/" TargetMode="External"/><Relationship Id="rId22" Type="http://schemas.openxmlformats.org/officeDocument/2006/relationships/hyperlink" Target="/ka/resources/policies/" TargetMode="External"/><Relationship Id="rId20" Type="http://schemas.openxmlformats.org/officeDocument/2006/relationships/hyperlink" Target="/ka/standards/" TargetMode="External"/><Relationship Id="rId21" Type="http://schemas.openxmlformats.org/officeDocument/2006/relationships/hyperlink" Target="/ka/standards/standard-26/" TargetMode="External"/><Relationship Id="rId23" Type="http://schemas.openxmlformats.org/officeDocument/2006/relationships/hyperlink" Target="/ka/standards/standard-26/#c26-4" TargetMode="External"/><Relationship Id="rId43" Type="http://schemas.openxmlformats.org/officeDocument/2006/relationships/hyperlink" Target="https://academy.gmj.ge/courses/asf-amb-12-en/" TargetMode="External"/></Relationships>
</file>

<file path=word/_rels/footnotes.xml.rels><?xml version='1.0' encoding='UTF-8' standalone='yes'?>
<Relationships xmlns="http://schemas.openxmlformats.org/package/2006/relationships"><Relationship Id="rId39" Type="http://schemas.openxmlformats.org/officeDocument/2006/relationships/hyperlink" Target="/documents/dia-reg-001/" TargetMode="External"/><Relationship Id="rId22" Type="http://schemas.openxmlformats.org/officeDocument/2006/relationships/hyperlink" Target="/ka/resources/policies/" TargetMode="External"/><Relationship Id="rId20" Type="http://schemas.openxmlformats.org/officeDocument/2006/relationships/hyperlink" Target="/ka/standards/" TargetMode="External"/><Relationship Id="rId21" Type="http://schemas.openxmlformats.org/officeDocument/2006/relationships/hyperlink" Target="/ka/standards/standard-26/" TargetMode="External"/><Relationship Id="rId23" Type="http://schemas.openxmlformats.org/officeDocument/2006/relationships/hyperlink" Target="/ka/standards/standard-26/#c26-4" TargetMode="External"/><Relationship Id="rId43" Type="http://schemas.openxmlformats.org/officeDocument/2006/relationships/hyperlink" Target="https://academy.gmj.ge/courses/asf-amb-12-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2026-11-07T01:19:05Z</dcterms:created>
  <dcterms:modified xsi:type="dcterms:W3CDTF">2026-11-07T01:19:05Z</dcterms:modified>
</cp:coreProperties>
</file>

<file path=docProps/custom.xml><?xml version="1.0" encoding="utf-8"?>
<Properties xmlns="http://schemas.openxmlformats.org/officeDocument/2006/custom-properties" xmlns:vt="http://schemas.openxmlformats.org/officeDocument/2006/docPropsVTypes"/>
</file>