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DIG-FRM-001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დარღვევის რეაგირების გეგმის წლიურ ტესტირებას: სიმულირებული დარღვევა, გადადგმული ნაბიჯები და თითოეული ნაბიჯის შესრულების დრო.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აირჩიეთ რეალისტური სცენარი (მაგალითად, დაკარგული ლეპტოპი ან არასწორად გაგზავნილი ელფოსტა).</w:t>
      </w:r>
    </w:p>
    <w:p>
      <w:pPr>
        <w:numPr>
          <w:ilvl w:val="0"/>
          <w:numId w:val="1001"/>
        </w:numPr>
        <w:pStyle w:val="Compact"/>
      </w:pPr>
      <w:r>
        <w:t xml:space="preserve">სცენარი გაატარეთ დარღვევის გუნდთან ერთად. აღრიცხეთ ყოველი ნაბიჯის დრო.</w:t>
      </w:r>
    </w:p>
    <w:p>
      <w:pPr>
        <w:numPr>
          <w:ilvl w:val="0"/>
          <w:numId w:val="1001"/>
        </w:numPr>
        <w:pStyle w:val="Compact"/>
      </w:pPr>
      <w:r>
        <w:t xml:space="preserve">აღრიცხეთ, რა იმუშავა, რა არა და ქმედებები.</w:t>
      </w:r>
    </w:p>
    <w:p>
      <w:pPr>
        <w:numPr>
          <w:ilvl w:val="0"/>
          <w:numId w:val="1001"/>
        </w:numPr>
        <w:pStyle w:val="Compact"/>
      </w:pPr>
      <w:r>
        <w:t xml:space="preserve">ხელი მოაწერეთ და შეინახეთ ჩანაწერი.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დარღვევის გუნდი დაკავშირებულია სცენარის დაწყებიდან 1 საათში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შეკავების ნაბიჯები შესრულებულია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შეფასება დასრულებულია 24 საათში (სიმულირებული)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შეტყობინების გადაწყვეტილება აღრიცხულია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ტესტიდან მიღებული ქმედებები პასუხისმგებელი პირებითა და თარიღებით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ჩანაწერები, კონფიდენციალურობა და მონაცემთა დაცვა</w:t>
        </w:r>
      </w:hyperlink>
      <w:r>
        <w:t xml:space="preserve"> </w:t>
      </w:r>
      <w:r>
        <w:t xml:space="preserve">(T-11)</w:t>
      </w:r>
    </w:p>
    <w:p>
      <w:pPr>
        <w:numPr>
          <w:ilvl w:val="0"/>
          <w:numId w:val="1002"/>
        </w:numPr>
        <w:pStyle w:val="Compact"/>
      </w:pPr>
      <w:r>
        <w:t xml:space="preserve">უსაფრთხოების პროტოკოლები და ინციდენტებზე რეაგირება</w:t>
      </w:r>
      <w:r>
        <w:t xml:space="preserve"> </w:t>
      </w:r>
      <w:r>
        <w:t xml:space="preserve">(SEC-01)</w:t>
      </w:r>
    </w:p>
    <w:bookmarkEnd w:id="30"/>
    <w:bookmarkStart w:id="33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31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4" TargetMode="External" /><Relationship Type="http://schemas.openxmlformats.org/officeDocument/2006/relationships/hyperlink" Id="rId29" Target="https://academy.gmj.ge/courses/asf-t-11-en/" TargetMode="External" /><Relationship Type="http://schemas.openxmlformats.org/officeDocument/2006/relationships/hyperlink" Id="rId32" Target="https://france-asf.fr/wp-content/uploads/2026/10/dig-frm-001-form-1.docx" TargetMode="External" /><Relationship Type="http://schemas.openxmlformats.org/officeDocument/2006/relationships/hyperlink" Id="rId31" Target="https://france-asf.fr/wp-content/uploads/2026/10/dig-frm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4" TargetMode="External" /><Relationship Type="http://schemas.openxmlformats.org/officeDocument/2006/relationships/hyperlink" Id="rId29" Target="https://academy.gmj.ge/courses/asf-t-11-en/" TargetMode="External" /><Relationship Type="http://schemas.openxmlformats.org/officeDocument/2006/relationships/hyperlink" Id="rId32" Target="https://france-asf.fr/wp-content/uploads/2026/10/dig-frm-001-form-1.docx" TargetMode="External" /><Relationship Type="http://schemas.openxmlformats.org/officeDocument/2006/relationships/hyperlink" Id="rId31" Target="https://france-asf.fr/wp-content/uploads/2026/10/dig-frm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2026-11-07T01:50:13Z</dcterms:created>
  <dcterms:modified xsi:type="dcterms:W3CDTF">2026-11-07T01:50:13Z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