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/ შაბლონი · DIG-PLN-001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დაასახელეთ ყოველი ციფრული სისტემის ტექნიკური მხარდაჭერის გზა და რეაგირების დრო.</w:t>
      </w:r>
    </w:p>
    <w:p>
      <w:pPr>
        <w:numPr>
          <w:ilvl w:val="0"/>
          <w:numId w:val="1001"/>
        </w:numPr>
        <w:pStyle w:val="Compact"/>
      </w:pPr>
      <w:r>
        <w:t xml:space="preserve">ყოველი ახალი სისტემა გამოიცადეთ სრულ გამოყენებამდე და ყოველი დიდი ცვლილების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ყოველი ტესტი აღრიცხეთ DIG-FRM-004-ზე.</w:t>
      </w:r>
    </w:p>
    <w:p>
      <w:pPr>
        <w:numPr>
          <w:ilvl w:val="0"/>
          <w:numId w:val="1001"/>
        </w:numPr>
        <w:pStyle w:val="Compact"/>
      </w:pPr>
      <w:r>
        <w:t xml:space="preserve">მხარდაჭერის მოწყობა განიხილეთ ყოველ წელს.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მოქმედ სისტემას არ აქვს დასახელებული მხარდაჭერის გზა, ან ახალი სისტემა ჩაირთო ტესტის ჩანაწერის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 ციფრულ მზრუნველობის სისტემას ჰქონდეს ხელმისაწვდომი ტექნიკური ექსპერტიზა და ის იყოს ტესტირებული სრულ გამოყენებამდე და შემდეგ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ხელმძღვანელი, კლინიკური ხელმძღვანელები, მომწოდებლები და ხელშეკრულებით მხარდაჭერა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ციფრული სისტემა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ჩართვამდე, ყოველი დიდი ცვლილების შემდეგ და წლიური განხილვისას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მოწყობილობის მომსახურება, დაფარულია EQP-SOP-001-ით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დასახელებული მხარდაჭერის გზა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პირი, გუნდი ან მომწოდებლის დახმარების ცენტრი დასაკავშირებლად, დადგენილი რეაგირების დროით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ტესტების, შედეგებისა და ქმედებების თარიღიანი ჩანაწერი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სისტემა მხარდაჭერის გარეშე რისკად იქცევა, ხოლო პერსონალი, რომელიც მარტო უმკლავდება უწესრიგობას, მათ გვერდს უვლის. კრიტერიუმი 2D.3 მოითხოვს ექსპერტიზას და ტესტებს სრულ გამოყენებამდე.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მოწყობას; ინახავს მხარდაჭერის გზების სიას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ჯანდაცვის ინფორმატიკა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მომწოდებლები და კონტრაქტორები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უზრუნველყოფენ მხარდაჭერასა და ტესტირებას ხელშეკრულების შესაბამისად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ხელშეკრულება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აცნობებენ უწესრიგობას და მონაწილეობენ ტესტირებაში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მხარდაჭერის სია თითო სისტემაზე (სახელი, გზა, რეაგირების დრო)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გამოქვეყნებულია ინტრანეტზე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ტესტის ჩანაწერი (DIG-FRM-004)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 IT-ში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არ გაუშვათ სისტემა კლინიკურ გამოყენებაში ჩავარდნილი ტესტის შემდეგ, სანამ უწესრიგობა არ გასწორდება ან არ გამოიყენება სარეზერვო გზა.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სისტემის მხარდაჭერის გზა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მხარდაჭერის გზის დაყენება.</w:t>
      </w:r>
    </w:p>
    <w:p>
      <w:pPr>
        <w:numPr>
          <w:ilvl w:val="0"/>
          <w:numId w:val="1004"/>
        </w:numPr>
        <w:pStyle w:val="Compact"/>
      </w:pPr>
      <w:r>
        <w:t xml:space="preserve">თითო სისტემაზე აღრიცხეთ მხარდაჭერის გზა, სასწრაფო და რუტინული უწესრიგობის რეაგირების დრო და ესკალაციის საკონტაქტო პირი.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პერსონალმა უწესრიგობის დადგომამდე უნდა იცოდეს, ვის დაუკავშირდეს.</w:t>
      </w:r>
    </w:p>
    <w:p>
      <w:pPr>
        <w:pStyle w:val="BodyText"/>
      </w:pPr>
      <w:r>
        <w:t xml:space="preserve">ნაბიჯი 2. ტესტირება სრულ გამოყენებამდე.</w:t>
      </w:r>
    </w:p>
    <w:p>
      <w:pPr>
        <w:numPr>
          <w:ilvl w:val="0"/>
          <w:numId w:val="1005"/>
        </w:numPr>
        <w:pStyle w:val="Compact"/>
      </w:pPr>
      <w:r>
        <w:t xml:space="preserve">სისტემა გამოსცადეთ საცდელ ჯგუფთან, ინტერფეისებთან და სარეზერვო გეგმით სრულ გამოყენებამდე.</w:t>
      </w:r>
    </w:p>
    <w:p>
      <w:pPr>
        <w:numPr>
          <w:ilvl w:val="0"/>
          <w:numId w:val="1005"/>
        </w:numPr>
        <w:pStyle w:val="Compact"/>
      </w:pPr>
      <w:r>
        <w:t xml:space="preserve">ყოველი ტესტი და მისი შედეგი აღრიცხეთ DIG-FRM-004-ზე.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საცდელი გამოცდა პოულობს უწესრიგობებს, რომლებსაც დემონსტრაცია მალავს.</w:t>
      </w:r>
    </w:p>
    <w:p>
      <w:pPr>
        <w:pStyle w:val="BodyText"/>
      </w:pPr>
      <w:r>
        <w:t xml:space="preserve">ნაბიჯი 3. ტესტირება ცვლილების შემდეგ.</w:t>
      </w:r>
    </w:p>
    <w:p>
      <w:pPr>
        <w:numPr>
          <w:ilvl w:val="0"/>
          <w:numId w:val="1006"/>
        </w:numPr>
        <w:pStyle w:val="Compact"/>
      </w:pPr>
      <w:r>
        <w:t xml:space="preserve">ყოველი პროგრამული განახლების ან დიდი ცვლილების შემდეგ გაიმეორეთ მთავარი ტესტები.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განახლებები ცვლის ქცევას. ტესტები ამას აღმოაჩენს.</w:t>
      </w:r>
    </w:p>
    <w:p>
      <w:pPr>
        <w:pStyle w:val="BodyText"/>
      </w:pPr>
      <w:r>
        <w:t xml:space="preserve">ნაბიჯი 4. უწესრიგობების მართვა.</w:t>
      </w:r>
    </w:p>
    <w:p>
      <w:pPr>
        <w:numPr>
          <w:ilvl w:val="0"/>
          <w:numId w:val="1007"/>
        </w:numPr>
        <w:pStyle w:val="Compact"/>
      </w:pPr>
      <w:r>
        <w:t xml:space="preserve">აღრიცხეთ ყოველი უწესრიგობა მიღწეული რეაგირების დროით.</w:t>
      </w:r>
    </w:p>
    <w:p>
      <w:pPr>
        <w:numPr>
          <w:ilvl w:val="0"/>
          <w:numId w:val="1007"/>
        </w:numPr>
        <w:pStyle w:val="Compact"/>
      </w:pPr>
      <w:r>
        <w:t xml:space="preserve">ყოველ კვარტალში განიხილეთ განმეორებადი უწესრიგობები.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განმეორებადი უწესრიგობები მიუთითებს სისტემაზე ან ტრენინგის საჭიროებაზე.</w:t>
      </w:r>
    </w:p>
    <w:p>
      <w:pPr>
        <w:pStyle w:val="BodyText"/>
      </w:pPr>
      <w:r>
        <w:t xml:space="preserve">ნაბიჯი 5. ყოველწლიური განხილვა.</w:t>
      </w:r>
    </w:p>
    <w:p>
      <w:pPr>
        <w:numPr>
          <w:ilvl w:val="0"/>
          <w:numId w:val="1008"/>
        </w:numPr>
        <w:pStyle w:val="Compact"/>
      </w:pPr>
      <w:r>
        <w:t xml:space="preserve">ყოველწლიურად განიხილეთ მხარდაჭერის მოწყობა, მათ შორის ხელშეკრულება და დასახელებული პირები.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პერსონალი გადადის და ხელშეკრულებები სრულდება.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რეაგირების დრო ერთ კვარტალში ორჯერ გატარდა, IT ხელმძღვანელი ესკალაციას უკეთებს მომწოდებელსა და აღმასრულებელ დირექტორს.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მომწოდებლის მხარდაჭერა მიუწვდომელია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გამოიყენეთ სარეზერვო გეგმა და შიდა მხარდაჭერის საკონტაქტო პირი.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პაციენტის მზრუნველობაზე მოქმედი უწესრიგობები დაუყოვნებლივ ეცნობება კლინიკურ ხელმძღვანელს და INC-POL-001-ს.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სისტემები დასახელებული მხარდაჭერის გზით და რეაგირების დროით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დაამატეთ 14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ტესტები აღრიცხულია სრულ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გაშვება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გაშვების შეჩერება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რეაგირების დრო შესრულებულია (სასწრაფო უწესრიგობები)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დადგენილია კომიტეტის მიერ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მომწოდებელთან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DIG-FRM-004 ციფრული სისტემის ტესტისა და მხარდაჭერის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პერსონალს დასაქმებისას ეჩვენება მხარდაჭერის გზა (EC).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DIG-FRM-004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ციფრული სისტემის ტესტისა და მხარდაჭერის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ნაბიჯებში 2 და 3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DIG-SOP-002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ციფრული მზრუნველობის სისტემის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შეფასება გამოყენებამდე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SOP-074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სისტემის მუშაობის შეწყვეტის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მუშაობის შეწყვეტა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რეაგირების დროები დასადგენია.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ციფრული მზრუნველობის სისტემების ტექნიკური ექსპერტიზა. ახალი კურსი დაგეგმილია.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ig-frm-004/" TargetMode="External" /><Relationship Type="http://schemas.openxmlformats.org/officeDocument/2006/relationships/hyperlink" Id="rId40" Target="/ka/documents/dig-sop-002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3" TargetMode="External" /><Relationship Type="http://schemas.openxmlformats.org/officeDocument/2006/relationships/hyperlink" Id="rId46" Target="https://france-asf.fr/wp-content/uploads/2026/10/dig-pln-001-form-1.docx" TargetMode="External" /><Relationship Type="http://schemas.openxmlformats.org/officeDocument/2006/relationships/hyperlink" Id="rId45" Target="https://france-asf.fr/wp-content/uploads/2026/10/dig-pln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ig-frm-004/" TargetMode="External" /><Relationship Type="http://schemas.openxmlformats.org/officeDocument/2006/relationships/hyperlink" Id="rId40" Target="/ka/documents/dig-sop-002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3" TargetMode="External" /><Relationship Type="http://schemas.openxmlformats.org/officeDocument/2006/relationships/hyperlink" Id="rId46" Target="https://france-asf.fr/wp-content/uploads/2026/10/dig-pln-001-form-1.docx" TargetMode="External" /><Relationship Type="http://schemas.openxmlformats.org/officeDocument/2006/relationships/hyperlink" Id="rId45" Target="https://france-asf.fr/wp-content/uploads/2026/10/dig-pln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2026-11-07T01:47:46Z</dcterms:created>
  <dcterms:modified xsi:type="dcterms:W3CDTF">2026-11-07T01:47:46Z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