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8" w:name="Xdd927a473b1b7507e62e54131d711d457548134"/>
    <w:p>
      <w:pPr>
        <w:pStyle w:val="Heading1"/>
      </w:pPr>
      <w:r>
        <w:t xml:space="preserve">DIG-SOP-001: პაციენტის მონაცემთა დარღვევაზე რეაგირების პროცედურა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2A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DIG-SOP-001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2A.4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შეზღუდეთ: შეაჩერეთ წვდომა ან დაკარგვა, თუ ეს უსაფრთხოა. არაფერი წაშალოთ.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მოახსენეთ მონაცემთა დაცვის ხელმძღვანელს და თქვენს უშუალო მენეჯერს.</w:t>
      </w:r>
    </w:p>
    <w:p>
      <w:pPr>
        <w:numPr>
          <w:ilvl w:val="0"/>
          <w:numId w:val="1001"/>
        </w:numPr>
        <w:pStyle w:val="Compact"/>
      </w:pPr>
      <w:r>
        <w:t xml:space="preserve">მონაცემთა დაცვის ხელმძღვანელი დარღვევას 24 საათში აფასებს და აღნუსხავს.</w:t>
      </w:r>
    </w:p>
    <w:p>
      <w:pPr>
        <w:numPr>
          <w:ilvl w:val="0"/>
          <w:numId w:val="1001"/>
        </w:numPr>
        <w:pStyle w:val="Compact"/>
      </w:pPr>
      <w:r>
        <w:t xml:space="preserve">აღმასრულებელ დირექტორთან ერთად გადაწყვიტეთ, უნდა ეცნობოს თუ არა მარეგულირებელს და დაზარალებულ პაციენტებს.</w:t>
      </w:r>
    </w:p>
    <w:p>
      <w:pPr>
        <w:numPr>
          <w:ilvl w:val="0"/>
          <w:numId w:val="1001"/>
        </w:numPr>
        <w:pStyle w:val="Compact"/>
      </w:pPr>
      <w:r>
        <w:t xml:space="preserve">მიზეზი განიხილეთ და კონტროლები შეცვალეთ 30 დღეში.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დარღვევა ჯერ კიდევ მიმდინარეობს, ან ინფორმაცია საფრთხეშია, რომ შემდგომში გაიგზავნოს. ჯერ შეზღუდეთ.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პაციენტის ინფორმაციის ნებისმიერი დარღვევა შეიზღუდოს, შეფასდეს, მოხსენდეს სადაც საჭიროა და გამოყენებულ იქნას კონტროლების გასაძლიერებლად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ყველა, ვინც აღმოაჩენს, მოახსენებს ან ეხება ეჭვმიტანილ დარღვევას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საიტი, სისტემა და ქაღალდის 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როგორც კი დარღვევა ან ეჭვმიტანილი დარღვევა აღმოჩნდება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რუტინული შეცდომები გამჟღავნების გარეშე, რომლებიც ინციდენტის პოლიტიკით მუშავდება, მაგრამ აქაც აღინუსხება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დარღვევა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ჯანმრთელობის ინფორმაციაზე არაავტორიზებული წვდომა, დაკარგვა, გამჟღავნება ან ცვლილება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შეზღუდვა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 შემდგომი ზიანის შესაჩერებლად, მაგალითად, შესვლის გათიშვა ან დოკუმენტის აღდგენა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დარღვევის გუნდი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მონაცემთა დაცვის ხელმძღვანელი, IT ხელმძღვანელი, შესაბამისი მომსახურების უფროსი და აღმასრულებელი დირექტორი ან მისი წარმომადგენელი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დარღვევისას სიჩქარე მნიშვნელოვანია. შეზღუდვა და ადრეული მოხსენება პაციენტებისთვის ზიანს ზღუდავს. კანონმა შეიძლება მოითხოვოს შეტყობინება დადგენილ ვადებში, რომელიც ქვეყნისთვის უნდა დადასტურდეს (EC).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დარღვევის აღმომჩენი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ზღუდავს, თუ უსაფრთხოა; დაუყოვნებლივ მოახსენებს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ორიენტაცია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მონაცემთა დაცვის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შეფასებას; ინახავს დარღვევების ჟურნალს; იძლევა რჩევას შეტყობინებაზე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მონაცემთა დაცვის 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იცავს სისტემებს; ინახავს ჟურნალებს; აღადგენს მონაცემებს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 უსაფრთხოება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წყვეტს მარეგულირებლისა და პაციენტების შეტყობინებას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ხელმძღვანელობა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დარღვევის მოხსენების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თარიღი, დრო, რა, ვინ, როგორ აღმოაჩინეს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შევსებული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დარღვევების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განახლებული ყოველი დარღვევისთვის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გამოძიებისთვის ინფორმაცია არ გადაუგზავნოთ და არ დააკოპიროთ.</w:t>
      </w:r>
    </w:p>
    <w:p>
      <w:pPr>
        <w:numPr>
          <w:ilvl w:val="0"/>
          <w:numId w:val="1002"/>
        </w:numPr>
        <w:pStyle w:val="Compact"/>
      </w:pPr>
      <w:r>
        <w:t xml:space="preserve">დაზარალებულ პაციენტს არ დაუკავშირდეთ, სანამ დარღვევის გუნდი შეტყობინებას არ შეათანხმებს.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იცოდეთ, ვინ არიან თქვენი მონაცემთა დაცვის და IT ხელმძღვანელები და როგორ დაუკავშირდეთ სამუშაო საათების გარეთ.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დარღვევის შეზღუდვა.</w:t>
      </w:r>
    </w:p>
    <w:p>
      <w:pPr>
        <w:numPr>
          <w:ilvl w:val="0"/>
          <w:numId w:val="1004"/>
        </w:numPr>
        <w:pStyle w:val="Compact"/>
      </w:pPr>
      <w:r>
        <w:t xml:space="preserve">თუ უსაფრთხოა, შეაჩერეთ წვდომა: გამოდით სისტემიდან, გათიშეთ ანგარიში ან დაიცავით ქაღალდის ჩანაწერი.</w:t>
      </w:r>
    </w:p>
    <w:p>
      <w:pPr>
        <w:numPr>
          <w:ilvl w:val="0"/>
          <w:numId w:val="1004"/>
        </w:numPr>
        <w:pStyle w:val="Compact"/>
      </w:pPr>
      <w:r>
        <w:t xml:space="preserve">არ წაშალოთ შეტყობინებები, ფაილები ან ჟურნალები.</w:t>
      </w:r>
    </w:p>
    <w:p>
      <w:pPr>
        <w:numPr>
          <w:ilvl w:val="0"/>
          <w:numId w:val="1004"/>
        </w:numPr>
        <w:pStyle w:val="Compact"/>
      </w:pPr>
      <w:r>
        <w:t xml:space="preserve">აღნიშნეთ, როდის აღმოაჩინეთ დარღვევა და რა გააკეთეთ.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შეზღუდვა ზიანს ზღუდავს. წაშლა მტკიცებულებას ანადგურებს.</w:t>
      </w:r>
    </w:p>
    <w:p>
      <w:pPr>
        <w:pStyle w:val="BodyText"/>
      </w:pPr>
      <w:r>
        <w:t xml:space="preserve">ეტაპი 2. დაუყოვნებლივ მოხსენება.</w:t>
      </w:r>
    </w:p>
    <w:p>
      <w:pPr>
        <w:numPr>
          <w:ilvl w:val="0"/>
          <w:numId w:val="1005"/>
        </w:numPr>
        <w:pStyle w:val="Compact"/>
      </w:pPr>
      <w:r>
        <w:t xml:space="preserve">დაუყოვნებლივ აცნობეთ თქვენს უშუალო მენეჯერს და მონაცემთა დაცვის ხელმძღვანელს, საჭიროებისას ტელეფონით.</w:t>
      </w:r>
    </w:p>
    <w:p>
      <w:pPr>
        <w:numPr>
          <w:ilvl w:val="0"/>
          <w:numId w:val="1005"/>
        </w:numPr>
        <w:pStyle w:val="Compact"/>
      </w:pPr>
      <w:r>
        <w:t xml:space="preserve">დარღვევის მოხსენების ფორმა 24 საათში შეავსეთ.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შეტყობინების ვადა იწყება, როცა დაწესებულებამ იცის. ადრეული მოხსენება იცავს დაწესებულებასაც და პაციენტებსაც.</w:t>
      </w:r>
    </w:p>
    <w:p>
      <w:pPr>
        <w:pStyle w:val="BodyText"/>
      </w:pPr>
      <w:r>
        <w:t xml:space="preserve">ეტაპი 3. დარღვევის შეფასება 24 საათში.</w:t>
      </w:r>
    </w:p>
    <w:p>
      <w:pPr>
        <w:numPr>
          <w:ilvl w:val="0"/>
          <w:numId w:val="1006"/>
        </w:numPr>
        <w:pStyle w:val="Compact"/>
      </w:pPr>
      <w:r>
        <w:t xml:space="preserve">მონაცემთა დაცვის ხელმძღვანელი აღნუსხავს, რა ინფორმაცია იყო ჩართული, რამდენი პაციენტი, რა ზიანი შეიძლება მოჰყვეს და იყო თუ არა შემთხვევითი ან განზრახ.</w:t>
      </w:r>
    </w:p>
    <w:p>
      <w:pPr>
        <w:numPr>
          <w:ilvl w:val="0"/>
          <w:numId w:val="1006"/>
        </w:numPr>
        <w:pStyle w:val="Compact"/>
      </w:pPr>
      <w:r>
        <w:t xml:space="preserve">შეინახეთ სისტემის ჟურნალები და ელფოსტები.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შეფასება წყვეტს, რა უნდა გაკეთდეს შემდეგ.</w:t>
      </w:r>
    </w:p>
    <w:p>
      <w:pPr>
        <w:pStyle w:val="BodyText"/>
      </w:pPr>
      <w:r>
        <w:t xml:space="preserve">ეტაპი 4. შეტყობინების გადაწყვეტა.</w:t>
      </w:r>
    </w:p>
    <w:p>
      <w:pPr>
        <w:numPr>
          <w:ilvl w:val="0"/>
          <w:numId w:val="1007"/>
        </w:numPr>
        <w:pStyle w:val="Compact"/>
      </w:pPr>
      <w:r>
        <w:t xml:space="preserve">დარღვევის გუნდი და აღმასრულებელი დირექტორი წყვეტენ, უნდა ეცნობოს თუ არა მარეგულირებელს და დაზარალებულ პაციენტებს, და რა ვადაში.</w:t>
      </w:r>
    </w:p>
    <w:p>
      <w:pPr>
        <w:numPr>
          <w:ilvl w:val="0"/>
          <w:numId w:val="1007"/>
        </w:numPr>
        <w:pStyle w:val="Compact"/>
      </w:pPr>
      <w:r>
        <w:t xml:space="preserve">აღნუსხეთ გადაწყვეტილება და მიზეზები.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შეტყობინების გადაწყვეტილებები უნდა აღინუსხოს, მაშინაც კი, როცა გადაწყვეტილება შეუტყობინებლობაა.</w:t>
      </w:r>
    </w:p>
    <w:p>
      <w:pPr>
        <w:pStyle w:val="BodyText"/>
      </w:pPr>
      <w:r>
        <w:t xml:space="preserve">ეტაპი 5. დაზარალებულების ინფორმირება.</w:t>
      </w:r>
    </w:p>
    <w:p>
      <w:pPr>
        <w:numPr>
          <w:ilvl w:val="0"/>
          <w:numId w:val="1008"/>
        </w:numPr>
        <w:pStyle w:val="Compact"/>
      </w:pPr>
      <w:r>
        <w:t xml:space="preserve">სადაც შეტყობინებაა საჭირო, პაციენტს მიეცით მკაფიო, გულწრფელი ინფორმაცია: რა მოხდა, რა ინფორმაცია, რა შეუძლია მას, და ვის დაუკავშირდეს.</w:t>
      </w:r>
    </w:p>
    <w:p>
      <w:pPr>
        <w:numPr>
          <w:ilvl w:val="0"/>
          <w:numId w:val="1008"/>
        </w:numPr>
        <w:pStyle w:val="Compact"/>
      </w:pPr>
      <w:r>
        <w:t xml:space="preserve">აღნუსხეთ თარიღი და მეთოდი.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პაციენტებს ეკუთვნით სიმართლე, მკაფიოდ და დროულად მიწოდებული.</w:t>
      </w:r>
    </w:p>
    <w:p>
      <w:pPr>
        <w:pStyle w:val="BodyText"/>
      </w:pPr>
      <w:r>
        <w:t xml:space="preserve">ეტაპი 6. დარღვევიდან სწავლა.</w:t>
      </w:r>
    </w:p>
    <w:p>
      <w:pPr>
        <w:numPr>
          <w:ilvl w:val="0"/>
          <w:numId w:val="1009"/>
        </w:numPr>
        <w:pStyle w:val="Compact"/>
      </w:pPr>
      <w:r>
        <w:t xml:space="preserve">30 დღეში ჩაატარეთ ძირეული მიზეზის განხილვა (INC-SOP-001).</w:t>
      </w:r>
    </w:p>
    <w:p>
      <w:pPr>
        <w:numPr>
          <w:ilvl w:val="0"/>
          <w:numId w:val="1009"/>
        </w:numPr>
        <w:pStyle w:val="Compact"/>
      </w:pPr>
      <w:r>
        <w:t xml:space="preserve">შეცვალეთ კონტროლები, ტრენინგი ან წვდომა, რომელიც ვერ იმუშავა, და აღნუსხეთ ქმედება.</w:t>
      </w:r>
    </w:p>
    <w:p>
      <w:pPr>
        <w:numPr>
          <w:ilvl w:val="0"/>
          <w:numId w:val="1009"/>
        </w:numPr>
        <w:pStyle w:val="Compact"/>
      </w:pPr>
      <w:r>
        <w:t xml:space="preserve">დახურვა აღნუსხეთ დარღვევების ჟურნალში.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დარღვევა, რომელიც არაფერს არ ცვლის, კვლავ მოხდება.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10"/>
        </w:numPr>
        <w:pStyle w:val="Compact"/>
      </w:pPr>
      <w:r>
        <w:t xml:space="preserve">თუ დარღვევა სისხლის სამართლის დანაშაულს შეიცავს, პოლიციას აცნობეთ აღმასრულებელი დირექტორის მეშვეობით, შეზღუდვის ეტაპის შემდეგ.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დარღვევა პერსონალის წევრის მიერ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შეფასების შემდეგ მიჰყევით დისციპლინარულ პროცედურას. შედეგს წინასწარ ნუ განსაჯით.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1"/>
        </w:numPr>
        <w:pStyle w:val="Compact"/>
      </w:pPr>
      <w:r>
        <w:t xml:space="preserve">მძიმე დარღვევები მიდის აღმასრულებელ დირექტორთან და მმართველ ორგანოსთან შემდეგ შეხვედრაზე, ან უფრო ადრე, თუ გადაუდებელია.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დარღვევები მოხსენებული 24 საათში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დარღვევა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მონაცემთა დაცვის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მოხსენების დაგვიანების განხილვა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დარღვევები შეფასებული 24 საათში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დარღვევა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მონაცემთა დაცვის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ძირეული მიზეზის განხილვები დასრულებული 30 დღეში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მონაცემთა დაცვის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დარღვევის მოხსენების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მონაცემთა დაცვის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დარღვევების ჟურნალი და ძირეული მიზეზის განხილვა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მონაცემთა დაცვის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2"/>
        </w:numPr>
        <w:pStyle w:val="Compact"/>
      </w:pPr>
      <w:r>
        <w:t xml:space="preserve">დარღვევაზე რეაგირება შედის ორიენტაციასა და წლიურ ტრენინგში (EC).</w:t>
      </w:r>
    </w:p>
    <w:p>
      <w:pPr>
        <w:numPr>
          <w:ilvl w:val="0"/>
          <w:numId w:val="1012"/>
        </w:numPr>
        <w:pStyle w:val="Compact"/>
      </w:pPr>
      <w:r>
        <w:t xml:space="preserve">დარღვევის გუნდი ყოველწლიურად ვარჯიშობს DIG-FRM-001-ის მეშვეობით (EC).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DIG-POL-001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ინფორმაციის უსაფრთხოებისა და წვდომის კონტროლის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წვდომის წესების წყარო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DIG-FRM-001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დარღვევაზე რეაგირების ტესტის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წლიური ტესტი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INC-POL-001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ინციდენტების მოხსენება და მართვა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დარღვევა ასევე აღინუსხება როგორც ინციდენტი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შეტყობინების ვადები ეროვნულ კანონთან უნდა დადასტურდეს დამტკიცებამდე.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3"/>
        </w:numPr>
        <w:pStyle w:val="Compact"/>
      </w:pPr>
      <w:hyperlink r:id="rId45">
        <w:r>
          <w:rPr>
            <w:rStyle w:val="Hyperlink"/>
          </w:rPr>
          <w:t xml:space="preserve">Records, Confidentiality and Data Protection</w:t>
        </w:r>
      </w:hyperlink>
      <w:r>
        <w:t xml:space="preserve"> </w:t>
      </w:r>
      <w:r>
        <w:t xml:space="preserve">(T-11)</w:t>
      </w:r>
    </w:p>
    <w:p>
      <w:pPr>
        <w:numPr>
          <w:ilvl w:val="0"/>
          <w:numId w:val="1013"/>
        </w:numPr>
        <w:pStyle w:val="Compact"/>
      </w:pPr>
      <w:r>
        <w:t xml:space="preserve">Security Protocols &amp; Incident Response</w:t>
      </w:r>
      <w:r>
        <w:t xml:space="preserve"> </w:t>
      </w:r>
      <w:r>
        <w:t xml:space="preserve">(SEC-01)</w:t>
      </w:r>
    </w:p>
    <w:bookmarkEnd w:id="46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4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dig-pol-001/" TargetMode="External"/><Relationship Id="rId40" Type="http://schemas.openxmlformats.org/officeDocument/2006/relationships/hyperlink" Target="/ka/documents/dig-frm-001/" TargetMode="External"/><Relationship Id="rId41" Type="http://schemas.openxmlformats.org/officeDocument/2006/relationships/hyperlink" Target="/ka/documents/inc-pol-001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a/" TargetMode="External"/><Relationship Id="rId23" Type="http://schemas.openxmlformats.org/officeDocument/2006/relationships/hyperlink" Target="/ka/standards/standard-2a/#c2a-4" TargetMode="External"/><Relationship Id="rId45" Type="http://schemas.openxmlformats.org/officeDocument/2006/relationships/hyperlink" Target="https://academy.gmj.ge/courses/asf-t-11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dig-pol-001/" TargetMode="External"/><Relationship Id="rId40" Type="http://schemas.openxmlformats.org/officeDocument/2006/relationships/hyperlink" Target="/ka/documents/dig-frm-001/" TargetMode="External"/><Relationship Id="rId41" Type="http://schemas.openxmlformats.org/officeDocument/2006/relationships/hyperlink" Target="/ka/documents/inc-pol-001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a/" TargetMode="External"/><Relationship Id="rId23" Type="http://schemas.openxmlformats.org/officeDocument/2006/relationships/hyperlink" Target="/ka/standards/standard-2a/#c2a-4" TargetMode="External"/><Relationship Id="rId45" Type="http://schemas.openxmlformats.org/officeDocument/2006/relationships/hyperlink" Target="https://academy.gmj.ge/courses/asf-t-11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2026-11-07T01:52:51Z</dcterms:created>
  <dcterms:modified xsi:type="dcterms:W3CDTF">2026-11-07T01:52:51Z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