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2D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სტანდარტული საოპერაციო პროცედურები (SOP)</w:t>
        </w:r>
      </w:hyperlink>
    </w:p>
    <w:p>
      <w:pPr>
        <w:pStyle w:val="BodyText"/>
      </w:pPr>
      <w:r>
        <w:t xml:space="preserve">სტანდარტული საოპერაციო პროცედურა (SOP) · DIG-SOP-002 · ვერსია 1.1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</w:t>
      </w:r>
      <w:r>
        <w:t xml:space="preserve"> </w:t>
      </w:r>
      <w:hyperlink r:id="rId23">
        <w:r>
          <w:rPr>
            <w:rStyle w:val="Hyperlink"/>
          </w:rPr>
          <w:t xml:space="preserve">2D.1</w:t>
        </w:r>
      </w:hyperlink>
    </w:p>
    <w:p>
      <w:pPr>
        <w:pStyle w:val="BodyText"/>
      </w:pPr>
      <w:r>
        <w:t xml:space="preserve">მოკლედ</w:t>
      </w:r>
    </w:p>
    <w:p>
      <w:pPr>
        <w:numPr>
          <w:ilvl w:val="0"/>
          <w:numId w:val="1001"/>
        </w:numPr>
        <w:pStyle w:val="Compact"/>
      </w:pPr>
      <w:r>
        <w:t xml:space="preserve">შეაფასეთ ყოველი ციფრული მზრუნველობის სისტემა დანერგვამდე: ხარჯები, სარგებელი, ურთიერთთავსებადობა და შესაძლო არასასურველი შედეგები.</w:t>
      </w:r>
    </w:p>
    <w:p>
      <w:pPr>
        <w:numPr>
          <w:ilvl w:val="0"/>
          <w:numId w:val="1001"/>
        </w:numPr>
        <w:pStyle w:val="Compact"/>
      </w:pPr>
      <w:r>
        <w:t xml:space="preserve">აღრიცხეთ შეფასება DIG-FRM-002-ზე, ხელმოწერილი კლინიკური და IT ხელმძღვანელების მიერ.</w:t>
      </w:r>
    </w:p>
    <w:p>
      <w:pPr>
        <w:numPr>
          <w:ilvl w:val="0"/>
          <w:numId w:val="1001"/>
        </w:numPr>
        <w:pStyle w:val="Compact"/>
      </w:pPr>
      <w:r>
        <w:t xml:space="preserve">არ მიიღოთ სისტემა მხოლოდ მომწოდებლის განცხადებებით.</w:t>
      </w:r>
    </w:p>
    <w:p>
      <w:pPr>
        <w:numPr>
          <w:ilvl w:val="0"/>
          <w:numId w:val="1001"/>
        </w:numPr>
        <w:pStyle w:val="Compact"/>
      </w:pPr>
      <w:r>
        <w:t xml:space="preserve">ყოველი სისტემა განიხილეთ ჩართვის შემდეგ და მინიმუმ ყოველწლიურად.</w:t>
      </w:r>
    </w:p>
    <w:p>
      <w:pPr>
        <w:numPr>
          <w:ilvl w:val="0"/>
          <w:numId w:val="1001"/>
        </w:numPr>
        <w:pStyle w:val="Compact"/>
      </w:pPr>
      <w:r>
        <w:t xml:space="preserve">შეაჩერეთ და დაუყოვნებლივ მიმართეთ დახმარებას, თუ: სისტემა კლინიკურ გამოყენებაშია დასრულებული შეფასების გარეშე.</w:t>
      </w:r>
    </w:p>
    <w:bookmarkStart w:id="24" w:name="მიზანი"/>
    <w:p>
      <w:pPr>
        <w:pStyle w:val="Heading2"/>
      </w:pPr>
      <w:r>
        <w:t xml:space="preserve">1. მიზანი</w:t>
      </w:r>
    </w:p>
    <w:p>
      <w:pPr>
        <w:pStyle w:val="FirstParagraph"/>
      </w:pPr>
      <w:r>
        <w:t xml:space="preserve">იმისთვის, რომ ყოველი ციფრული მზრუნველობის სისტემა (ტელემედიცინა, დისტანციური მონიტორინგი, პაციენტისთვის განკუთვნილი აპი, კლინიკური პროგრამული უზრუნველყოფა) შეფასდეს, დაინერგოს და მართოს განსაზღვრული პროცესით და არა მომწოდებლის პრეზენტაციით [EC].</w:t>
      </w:r>
    </w:p>
    <w:bookmarkEnd w:id="24"/>
    <w:bookmarkStart w:id="25" w:name="მოქმედების-სფერო"/>
    <w:p>
      <w:pPr>
        <w:pStyle w:val="Heading2"/>
      </w:pPr>
      <w:r>
        <w:t xml:space="preserve">2. მოქმედების სფერო</w:t>
      </w:r>
    </w:p>
    <w:tbl>
      <w:tblPr>
        <w:tblStyle w:val="Table"/>
        <w:tblW w:type="auto" w:w="0"/>
        <w:tblLook w:firstRow="0" w:lastRow="0" w:firstColumn="0" w:lastColumn="0" w:noHBand="0" w:noVBand="0" w:val="0000"/>
        <w:jc w:val="start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კლინიკური ხელმძღვანელები, IT ხელმძღვანელი, შესყიდვების ხელმძღვანელი, აღმასრულებელი დირექტორი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ადგილმდებარეობა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ობიექტის ყველა კლინიკური და პაციენტისთვის განკუთვნილი ციფრული სისტემა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დრო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დანერგვამდე, ჩართვისას და ყოველწლიურად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არ 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სტანდარტული საოფისე პროგრამული უზრუნველყოფა კლინიკური გამოყენების გარეშე (დაფარულია IT პოლიტიკით DIG-POL-001)</w:t>
            </w:r>
          </w:p>
        </w:tc>
      </w:tr>
    </w:tbl>
    <w:bookmarkEnd w:id="25"/>
    <w:bookmarkStart w:id="26" w:name="ტერმინთა-განმარტებები"/>
    <w:p>
      <w:pPr>
        <w:pStyle w:val="Heading2"/>
      </w:pPr>
      <w:r>
        <w:t xml:space="preserve">3. ტერმინთა განმარტებები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ტერმინი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მნიშვნელობა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ციფრული მზრუნველობის სისტემა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ნებისმიერი პროგრამა ან მოწყობილობა, რომელიც მხარს უჭერს დიაგნოზს, მკურნალობას, მონიტორინგს ან კომუნიკაციას პაციენტებთან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ურთიერთთავსებადობა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ორი სისტემის უნარი სწორად გაცვალონ და გამოიყენონ მონაცემები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არასასურველი შედეგი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არაგეგმილი ეფექტი, მაგალითად დამატებითი სამუშაო, დუბლირებული ჩანაწერები ან გამოტოვებული გაფრთხილებები</w:t>
            </w:r>
          </w:p>
        </w:tc>
      </w:tr>
    </w:tbl>
    <w:bookmarkEnd w:id="26"/>
    <w:bookmarkStart w:id="27" w:name="ფონი"/>
    <w:p>
      <w:pPr>
        <w:pStyle w:val="Heading2"/>
      </w:pPr>
      <w:r>
        <w:t xml:space="preserve">4. ფონი</w:t>
      </w:r>
    </w:p>
    <w:p>
      <w:pPr>
        <w:pStyle w:val="FirstParagraph"/>
      </w:pPr>
      <w:r>
        <w:t xml:space="preserve">ციფრულმა ინსტრუმენტებმა შეიძლება გააუმჯობესოს მზრუნველობა, მაგრამ ასევე ქმნის ახალ რისკებს: დამატებით სამუშაოს, მონაცემთა შეცდომებს, სისტემებს შორის გაწყვეტილ კავშირებს და გამოტოვებულ გაფრთხილებებს. კრიტერიუმი 2D.1 მოითხოვს შიდა შეფასებას და მართვას და არა მომწოდებლის განცხადებებზე დაყრდნობას.</w:t>
      </w:r>
    </w:p>
    <w:bookmarkEnd w:id="27"/>
    <w:bookmarkStart w:id="28" w:name="პასუხისმგებლობები"/>
    <w:p>
      <w:pPr>
        <w:pStyle w:val="Heading2"/>
      </w:pPr>
      <w:r>
        <w:t xml:space="preserve">5. პასუხისმგებლობები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როლი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პასუხისმგებლობა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კომპეტენცია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აღმასრულებელი დირექტორი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ამტკიცებს სისტემებს დიდი კლინიკური ზემოქმედებით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აღმასრულებელი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ამ მიმართულების კლინიკური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განსაზღვრავს კლინიკურ საჭიროებას; ხელს აწერს შეფასებას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კლინიკური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IT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აფასებს ურთიერთთავსებადობასა და უსაფრთხოებას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ჯანდაცვის ინფორმატიკა (EC)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შესყიდვების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აგროვებს მომწოდებლის ინფორმაციას; ინახავს ხელშეკრულებას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შესყიდვა</w:t>
            </w:r>
          </w:p>
        </w:tc>
      </w:tr>
    </w:tbl>
    <w:bookmarkEnd w:id="28"/>
    <w:bookmarkStart w:id="29" w:name="მასალები-და-აღჭურვილობა"/>
    <w:p>
      <w:pPr>
        <w:pStyle w:val="Heading2"/>
      </w:pPr>
      <w:r>
        <w:t xml:space="preserve">6. მასალები და აღჭურვილობა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ერთეული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მოთხოვნა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მდგომარეობა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ციფრული ინსტრუმენტის შეფასების შაბლონი (DIG-FRM-002)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მოქმედი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ხელმისაწვდომია პროექტის ხელმძღვანელებისთვის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მომწოდებლის ინფორმაცია და მტკიცებულებები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მომწოდებლისგან, თარიღიანი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ფაილში</w:t>
            </w:r>
          </w:p>
        </w:tc>
      </w:tr>
    </w:tbl>
    <w:bookmarkEnd w:id="29"/>
    <w:bookmarkStart w:id="30" w:name="უსაფრთხოება"/>
    <w:p>
      <w:pPr>
        <w:pStyle w:val="Heading2"/>
      </w:pPr>
      <w:r>
        <w:t xml:space="preserve">7. უსაფრთხოება</w:t>
      </w:r>
    </w:p>
    <w:p>
      <w:pPr>
        <w:numPr>
          <w:ilvl w:val="0"/>
          <w:numId w:val="1002"/>
        </w:numPr>
        <w:pStyle w:val="Compact"/>
      </w:pPr>
      <w:r>
        <w:t xml:space="preserve">არცერთი კლინიკური სისტემა არ ირთვება ისე, რომ მასზე დამოკიდებულ სისტემებთან არ იყოს გამოცდილი ინტერფეისი.</w:t>
      </w:r>
    </w:p>
    <w:p>
      <w:pPr>
        <w:numPr>
          <w:ilvl w:val="0"/>
          <w:numId w:val="1002"/>
        </w:numPr>
        <w:pStyle w:val="Compact"/>
      </w:pPr>
      <w:r>
        <w:t xml:space="preserve">პაციენტის მონაცემების დამუშავება უნდა აკმაყოფილებდეს ინფორმაციის უსაფრთხოების პოლიტიკას (DIG-POL-001).</w:t>
      </w:r>
    </w:p>
    <w:bookmarkEnd w:id="30"/>
    <w:bookmarkStart w:id="31" w:name="დაწყებამდე"/>
    <w:p>
      <w:pPr>
        <w:pStyle w:val="Heading2"/>
      </w:pPr>
      <w:r>
        <w:t xml:space="preserve">8. დაწყებამდე</w:t>
      </w:r>
    </w:p>
    <w:p>
      <w:pPr>
        <w:numPr>
          <w:ilvl w:val="0"/>
          <w:numId w:val="1003"/>
        </w:numPr>
        <w:pStyle w:val="Compact"/>
      </w:pPr>
      <w:r>
        <w:t xml:space="preserve">დაადასტურეთ კლინიკური საჭიროება წერილობით ნებისმიერი მომწოდებლის შეფასებამდე.</w:t>
      </w:r>
    </w:p>
    <w:bookmarkEnd w:id="31"/>
    <w:bookmarkStart w:id="32" w:name="პროცედურა"/>
    <w:p>
      <w:pPr>
        <w:pStyle w:val="Heading2"/>
      </w:pPr>
      <w:r>
        <w:t xml:space="preserve">9. პროცედურა</w:t>
      </w:r>
    </w:p>
    <w:p>
      <w:pPr>
        <w:pStyle w:val="FirstParagraph"/>
      </w:pPr>
      <w:r>
        <w:t xml:space="preserve">ნაბიჯი 1. საჭიროების განსაზღვრა.</w:t>
      </w:r>
    </w:p>
    <w:p>
      <w:pPr>
        <w:numPr>
          <w:ilvl w:val="0"/>
          <w:numId w:val="1004"/>
        </w:numPr>
        <w:pStyle w:val="Compact"/>
      </w:pPr>
      <w:r>
        <w:t xml:space="preserve">ჩაწერეთ კლინიკური პრობლემა, რომელსაც სისტემა გადაჭრის, დაზარალებული პაციენტები და წარმატების გაზომვის გზა.</w:t>
      </w:r>
    </w:p>
    <w:p>
      <w:pPr>
        <w:pStyle w:val="FirstParagraph"/>
      </w:pPr>
      <w:r>
        <w:rPr>
          <w:bCs/>
          <w:b/>
        </w:rPr>
        <w:t xml:space="preserve">ძირითადი წერტილი:</w:t>
      </w:r>
      <w:r>
        <w:t xml:space="preserve"> </w:t>
      </w:r>
      <w:r>
        <w:t xml:space="preserve">სისტემა, რომელსაც პრობლემა არ აქვს დასახელებული, მოგვიანებით რთული იქნება შეფასება.</w:t>
      </w:r>
    </w:p>
    <w:p>
      <w:pPr>
        <w:pStyle w:val="BodyText"/>
      </w:pPr>
      <w:r>
        <w:t xml:space="preserve">ნაბიჯი 2. ხარჯებისა და სარგებლის შეფასება.</w:t>
      </w:r>
    </w:p>
    <w:p>
      <w:pPr>
        <w:numPr>
          <w:ilvl w:val="0"/>
          <w:numId w:val="1005"/>
        </w:numPr>
        <w:pStyle w:val="Compact"/>
      </w:pPr>
      <w:r>
        <w:t xml:space="preserve">შეაფასეთ ხარჯები: შესყიდვა, ტრენინგი, მხარდაჭერა, ინტერფეისები და პერსონალის დრო.</w:t>
      </w:r>
    </w:p>
    <w:p>
      <w:pPr>
        <w:numPr>
          <w:ilvl w:val="0"/>
          <w:numId w:val="1005"/>
        </w:numPr>
        <w:pStyle w:val="Compact"/>
      </w:pPr>
      <w:r>
        <w:t xml:space="preserve">შეაფასეთ სარგებელი და მისი გაზომვის გზა.</w:t>
      </w:r>
    </w:p>
    <w:p>
      <w:pPr>
        <w:numPr>
          <w:ilvl w:val="0"/>
          <w:numId w:val="1005"/>
        </w:numPr>
        <w:pStyle w:val="Compact"/>
      </w:pPr>
      <w:r>
        <w:t xml:space="preserve">შედარება აღრიცხეთ DIG-FRM-002-ზე.</w:t>
      </w:r>
    </w:p>
    <w:p>
      <w:pPr>
        <w:pStyle w:val="FirstParagraph"/>
      </w:pPr>
      <w:r>
        <w:rPr>
          <w:bCs/>
          <w:b/>
        </w:rPr>
        <w:t xml:space="preserve">ძირითადი წერტილი:</w:t>
      </w:r>
      <w:r>
        <w:t xml:space="preserve"> </w:t>
      </w:r>
      <w:r>
        <w:t xml:space="preserve">ხარჯი და სარგებელი უნდა შედარდეს რეალური მაჩვენებლებით და არა მომწოდებლის ბროშურით.</w:t>
      </w:r>
    </w:p>
    <w:p>
      <w:pPr>
        <w:pStyle w:val="BodyText"/>
      </w:pPr>
      <w:r>
        <w:t xml:space="preserve">ნაბიჯი 3. ურთიერთთავსებადობის შეფასება.</w:t>
      </w:r>
    </w:p>
    <w:p>
      <w:pPr>
        <w:numPr>
          <w:ilvl w:val="0"/>
          <w:numId w:val="1006"/>
        </w:numPr>
        <w:pStyle w:val="Compact"/>
      </w:pPr>
      <w:r>
        <w:t xml:space="preserve">ჩამოთვალეთ ყოველი სისტემა, რომელთანაც ახალმა ინსტრუმენტმა მონაცემები უნდა გაცვალოს.</w:t>
      </w:r>
    </w:p>
    <w:p>
      <w:pPr>
        <w:numPr>
          <w:ilvl w:val="0"/>
          <w:numId w:val="1006"/>
        </w:numPr>
        <w:pStyle w:val="Compact"/>
      </w:pPr>
      <w:r>
        <w:t xml:space="preserve">ყოველი კავშირი გამოსცადეთ არაცოცხალ გარემოში.</w:t>
      </w:r>
    </w:p>
    <w:p>
      <w:pPr>
        <w:numPr>
          <w:ilvl w:val="0"/>
          <w:numId w:val="1006"/>
        </w:numPr>
        <w:pStyle w:val="Compact"/>
      </w:pPr>
      <w:r>
        <w:t xml:space="preserve">აღრიცხეთ ყოველი რისკი, რომელიც გამოწვეულია ურთიერთთავსებადობის ნაკლებობით, და მისი შემცირება.</w:t>
      </w:r>
    </w:p>
    <w:p>
      <w:pPr>
        <w:pStyle w:val="FirstParagraph"/>
      </w:pPr>
      <w:r>
        <w:rPr>
          <w:bCs/>
          <w:b/>
        </w:rPr>
        <w:t xml:space="preserve">ძირითადი წერტილი:</w:t>
      </w:r>
      <w:r>
        <w:t xml:space="preserve"> </w:t>
      </w:r>
      <w:r>
        <w:t xml:space="preserve">ორი სისტემა, რომლებიც ერთმანეთს არ ესაუბრება, ყველაზე გავრცელებულ მონაცემთა შეცდომებს ქმნის.</w:t>
      </w:r>
    </w:p>
    <w:p>
      <w:pPr>
        <w:pStyle w:val="BodyText"/>
      </w:pPr>
      <w:r>
        <w:t xml:space="preserve">ნაბიჯი 4. არასასურველი შედეგების შეფასება.</w:t>
      </w:r>
    </w:p>
    <w:p>
      <w:pPr>
        <w:numPr>
          <w:ilvl w:val="0"/>
          <w:numId w:val="1007"/>
        </w:numPr>
        <w:pStyle w:val="Compact"/>
      </w:pPr>
      <w:r>
        <w:t xml:space="preserve">ჰკითხეთ კლინიკურ ხელმძღვანელს და ორ წინა ხაზის თანამშრომელს, რა შეიძლება არასწორად წავიდეს: დამატებითი სამუშაო, დუბლირება, გაფრთხილებებით გადაღლა, მონაცემთა შეცდომები ან დაგვიანება.</w:t>
      </w:r>
    </w:p>
    <w:p>
      <w:pPr>
        <w:numPr>
          <w:ilvl w:val="0"/>
          <w:numId w:val="1007"/>
        </w:numPr>
        <w:pStyle w:val="Compact"/>
      </w:pPr>
      <w:r>
        <w:t xml:space="preserve">აღრიცხეთ ყოველი შესაძლო ეფექტი და როგორ მოხდება მისი თავიდან აცილება ან შემოწმება.</w:t>
      </w:r>
    </w:p>
    <w:p>
      <w:pPr>
        <w:pStyle w:val="FirstParagraph"/>
      </w:pPr>
      <w:r>
        <w:rPr>
          <w:bCs/>
          <w:b/>
        </w:rPr>
        <w:t xml:space="preserve">ძირითადი წერტილი:</w:t>
      </w:r>
      <w:r>
        <w:t xml:space="preserve"> </w:t>
      </w:r>
      <w:r>
        <w:t xml:space="preserve">ჰკითხეთ მათ, ვინც გამოიყენებს, და არა მხოლოდ მათ, ვინც ყიდულობს.</w:t>
      </w:r>
    </w:p>
    <w:p>
      <w:pPr>
        <w:pStyle w:val="BodyText"/>
      </w:pPr>
      <w:r>
        <w:t xml:space="preserve">ნაბიჯი 5. გადაწყვეტილება და დანერგვის მართვა.</w:t>
      </w:r>
    </w:p>
    <w:p>
      <w:pPr>
        <w:numPr>
          <w:ilvl w:val="0"/>
          <w:numId w:val="1008"/>
        </w:numPr>
        <w:pStyle w:val="Compact"/>
      </w:pPr>
      <w:r>
        <w:t xml:space="preserve">დამტკიცებელი იღებს გადაწყვეტილებას ჩანაწერის საფუძველზე.</w:t>
      </w:r>
    </w:p>
    <w:p>
      <w:pPr>
        <w:numPr>
          <w:ilvl w:val="0"/>
          <w:numId w:val="1008"/>
        </w:numPr>
        <w:pStyle w:val="Compact"/>
      </w:pPr>
      <w:r>
        <w:t xml:space="preserve">დანერგვას მართავს დასახელებული პასუხისმგებელი პირი, ტრენინგით, სარეზერვო გეგმითა და მხარდაჭერის გზით.</w:t>
      </w:r>
    </w:p>
    <w:p>
      <w:pPr>
        <w:pStyle w:val="FirstParagraph"/>
      </w:pPr>
      <w:r>
        <w:rPr>
          <w:bCs/>
          <w:b/>
        </w:rPr>
        <w:t xml:space="preserve">ძირითადი წერტილი:</w:t>
      </w:r>
      <w:r>
        <w:t xml:space="preserve"> </w:t>
      </w:r>
      <w:r>
        <w:t xml:space="preserve">სარეზერვო გეგმა საჭიროა ჩართვამდე და არა პირველი ჩავარდნის შემდეგ.</w:t>
      </w:r>
    </w:p>
    <w:p>
      <w:pPr>
        <w:pStyle w:val="BodyText"/>
      </w:pPr>
      <w:r>
        <w:t xml:space="preserve">ნაბიჯი 6. განხილვა.</w:t>
      </w:r>
    </w:p>
    <w:p>
      <w:pPr>
        <w:numPr>
          <w:ilvl w:val="0"/>
          <w:numId w:val="1009"/>
        </w:numPr>
        <w:pStyle w:val="Compact"/>
      </w:pPr>
      <w:r>
        <w:t xml:space="preserve">სისტემა განიხილეთ სამი თვის გამოყენების შემდეგ და შემდგომ ყოველწლიურად.</w:t>
      </w:r>
    </w:p>
    <w:p>
      <w:pPr>
        <w:numPr>
          <w:ilvl w:val="0"/>
          <w:numId w:val="1009"/>
        </w:numPr>
        <w:pStyle w:val="Compact"/>
      </w:pPr>
      <w:r>
        <w:t xml:space="preserve">აღრიცხეთ დასკვნები და ქმედებები.</w:t>
      </w:r>
    </w:p>
    <w:p>
      <w:pPr>
        <w:pStyle w:val="FirstParagraph"/>
      </w:pPr>
      <w:r>
        <w:rPr>
          <w:bCs/>
          <w:b/>
        </w:rPr>
        <w:t xml:space="preserve">ძირითადი წერტილი:</w:t>
      </w:r>
      <w:r>
        <w:t xml:space="preserve"> </w:t>
      </w:r>
      <w:r>
        <w:t xml:space="preserve">სისტემები იცვლება, და მათთან ერთად იცვლება რისკებიც.</w:t>
      </w:r>
    </w:p>
    <w:bookmarkEnd w:id="32"/>
    <w:bookmarkStart w:id="33" w:name="გადაწყვეტილების-წერტილები"/>
    <w:p>
      <w:pPr>
        <w:pStyle w:val="Heading2"/>
      </w:pPr>
      <w:r>
        <w:t xml:space="preserve">10. გადაწყვეტილების წერტილები</w:t>
      </w:r>
    </w:p>
    <w:p>
      <w:pPr>
        <w:numPr>
          <w:ilvl w:val="0"/>
          <w:numId w:val="1010"/>
        </w:numPr>
        <w:pStyle w:val="Compact"/>
      </w:pPr>
      <w:r>
        <w:t xml:space="preserve">თუ შეფასება აჩვენებს მაღალ კლინიკურ რისკს, რომელიც ვერ შემცირდება, სისტემა არ დაინერგება, სანამ აღმასრულებელი დირექტორი სხვაგვარად არ გადაწყვეტს, მიზეზების აღრიცხვით.</w:t>
      </w:r>
    </w:p>
    <w:bookmarkEnd w:id="33"/>
    <w:bookmarkStart w:id="34" w:name="განსაკუთრებული-სიტუაციები"/>
    <w:p>
      <w:pPr>
        <w:pStyle w:val="Heading2"/>
      </w:pPr>
      <w:r>
        <w:t xml:space="preserve">11. განსაკუთრებული სიტუაციები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სიტუაცია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ქმედება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გადაუდებელი საჭიროება (მაგალითად, აფეთქების დროს)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გამოიყენეთ დროებითი, განხილული დამტკიცება აღმასრულებელი დირექტორის მიერ დადგენილი ვადით, შემდეგ დაასრულეთ შეფასება.</w:t>
            </w:r>
          </w:p>
        </w:tc>
      </w:tr>
    </w:tbl>
    <w:bookmarkEnd w:id="34"/>
    <w:bookmarkStart w:id="35" w:name="ესკალაცია"/>
    <w:p>
      <w:pPr>
        <w:pStyle w:val="Heading2"/>
      </w:pPr>
      <w:r>
        <w:t xml:space="preserve">12. ესკალაცია</w:t>
      </w:r>
    </w:p>
    <w:p>
      <w:pPr>
        <w:numPr>
          <w:ilvl w:val="0"/>
          <w:numId w:val="1011"/>
        </w:numPr>
        <w:pStyle w:val="Compact"/>
      </w:pPr>
      <w:r>
        <w:t xml:space="preserve">პაციენტებზე მოქმედი სისტემის ჩავარდნები დაუყოვნებლივ ეცნობება აღმასრულებელ დირექტორს და INC-POL-001-ს.</w:t>
      </w:r>
    </w:p>
    <w:bookmarkEnd w:id="35"/>
    <w:bookmarkStart w:id="36" w:name="მონიტორინგი"/>
    <w:p>
      <w:pPr>
        <w:pStyle w:val="Heading2"/>
      </w:pPr>
      <w:r>
        <w:t xml:space="preserve">13. მონიტორინგი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584"/>
        <w:gridCol w:w="1584"/>
        <w:gridCol w:w="1584"/>
        <w:gridCol w:w="1584"/>
        <w:gridCol w:w="1584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საზომი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სამიზნე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სიხშირე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თუ არ შესრულდა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კლინიკურ გამოყენებაში მყოფი სისტემები დასრულებული შეფასებით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ყოველწლიურად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IT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გამოყენება შეჩერდეს შეფასებამდე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დანერგვის შემდგომი განხილვები ჩატარდება 3 თვეში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ყოველი სისტემა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კლინიკური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ესკალაცია აღმასრულებელ დირექტორთან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ინტერფეისის ჩავარდნები აღრიცხული და განხილული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ყოველკვარტალური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IT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ესკალაცია</w:t>
            </w:r>
          </w:p>
        </w:tc>
      </w:tr>
    </w:tbl>
    <w:bookmarkEnd w:id="36"/>
    <w:bookmarkStart w:id="37" w:name="ჩანაწერები"/>
    <w:p>
      <w:pPr>
        <w:pStyle w:val="Heading2"/>
      </w:pPr>
      <w:r>
        <w:t xml:space="preserve">14. ჩანაწერები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ინახება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შენახვის ვადა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DIG-FRM-002 ციფრული ინსტრუმენტის შეფასება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IT მმართველობის ფაილი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ობიექტის ჩანაწერების პოლიტიკით დადგენილი პერიოდი წლები სისტემის გაუქმების შემდეგ</w:t>
            </w:r>
          </w:p>
        </w:tc>
      </w:tr>
    </w:tbl>
    <w:bookmarkEnd w:id="37"/>
    <w:bookmarkStart w:id="38" w:name="ტრენინგი"/>
    <w:p>
      <w:pPr>
        <w:pStyle w:val="Heading2"/>
      </w:pPr>
      <w:r>
        <w:t xml:space="preserve">15. ტრენინგი</w:t>
      </w:r>
    </w:p>
    <w:p>
      <w:pPr>
        <w:numPr>
          <w:ilvl w:val="0"/>
          <w:numId w:val="1012"/>
        </w:numPr>
        <w:pStyle w:val="Compact"/>
      </w:pPr>
      <w:r>
        <w:t xml:space="preserve">პროექტის ხელმძღვანელები გადამზადდებიან შეფასების მეთოდში დანიშვნისას (EC).</w:t>
      </w:r>
    </w:p>
    <w:bookmarkEnd w:id="38"/>
    <w:bookmarkStart w:id="42" w:name="დაკავშირებული-დოკუმენტები"/>
    <w:p>
      <w:pPr>
        <w:pStyle w:val="Heading2"/>
      </w:pPr>
      <w:r>
        <w:t xml:space="preserve">16. დაკავშირებული დოკუმენტები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ID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სათაური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გამოყენება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39">
              <w:r>
                <w:rPr>
                  <w:rStyle w:val="Hyperlink"/>
                </w:rPr>
                <w:t xml:space="preserve">DIG-FRM-002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 xml:space="preserve">ციფრული ინსტრუმენტის შეფასების შაბლონი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გამოიყენება 2-დან 4-მდე ნაბიჯებში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40">
              <w:r>
                <w:rPr>
                  <w:rStyle w:val="Hyperlink"/>
                </w:rPr>
                <w:t xml:space="preserve">DIG-POL-001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 xml:space="preserve">ინფორმაციის უსაფრთხოებისა და წვდომის კონტროლის პოლიტიკა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უსაფრთხოების წესები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41">
              <w:r>
                <w:rPr>
                  <w:rStyle w:val="Hyperlink"/>
                </w:rPr>
                <w:t xml:space="preserve">DIG-FRM-004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 xml:space="preserve">ციფრული სისტემის ტესტისა და მხარდაჭერის 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ტესტის ჩანაწერები</w:t>
            </w:r>
          </w:p>
        </w:tc>
      </w:tr>
    </w:tbl>
    <w:bookmarkEnd w:id="42"/>
    <w:bookmarkStart w:id="43" w:name="მტკიცებულებები"/>
    <w:p>
      <w:pPr>
        <w:pStyle w:val="Heading2"/>
      </w:pPr>
      <w:r>
        <w:t xml:space="preserve">17. 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პოლიტიკის ჩარჩო v1.2. ადაპტირებულია.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ექსპერტთა კომიტეტის კონსენსუსი. შეფასების ზღვრებს დააწესებს კომიტეტი.</w:t>
            </w:r>
          </w:p>
        </w:tc>
      </w:tr>
    </w:tbl>
    <w:bookmarkEnd w:id="43"/>
    <w:bookmarkStart w:id="44" w:name="ცვლილებების-ისტორია"/>
    <w:p>
      <w:pPr>
        <w:pStyle w:val="Heading2"/>
      </w:pPr>
      <w:r>
        <w:t xml:space="preserve">18. 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პირველი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დამტკიცებულია ASF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შიდა ხარისხის განხილვა: გასწორებულია ჯვარედინი მითითებები, სტატუსის ფორმულირება და დოკუმენტის კონტროლი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დამტკიცებულია ASF ექსპერტთა კომიტეტის მიერ</w:t>
            </w:r>
          </w:p>
        </w:tc>
      </w:tr>
    </w:tbl>
    <w:bookmarkEnd w:id="44"/>
    <w:bookmarkStart w:id="46" w:name="ამ-დოკუმენტის-ელექტრონული-სწავლება"/>
    <w:p>
      <w:pPr>
        <w:pStyle w:val="Heading2"/>
      </w:pPr>
      <w:r>
        <w:t xml:space="preserve">ამ დოკუმენტის ელექტრონული სწავლება</w:t>
      </w:r>
    </w:p>
    <w:p>
      <w:pPr>
        <w:numPr>
          <w:ilvl w:val="0"/>
          <w:numId w:val="1013"/>
        </w:numPr>
        <w:pStyle w:val="Compact"/>
      </w:pPr>
      <w:hyperlink r:id="rId45">
        <w:r>
          <w:rPr>
            <w:rStyle w:val="Hyperlink"/>
          </w:rPr>
          <w:t xml:space="preserve">ტექნოლოგიური პლატფორმის საიმედოობა და უსაფრთხოება</w:t>
        </w:r>
      </w:hyperlink>
      <w:r>
        <w:t xml:space="preserve"> </w:t>
      </w:r>
      <w:r>
        <w:t xml:space="preserve">(TM-01)</w:t>
      </w:r>
    </w:p>
    <w:p>
      <w:pPr>
        <w:pStyle w:val="FirstParagraph"/>
      </w:pPr>
      <w:r>
        <w:rPr>
          <w:bCs/>
          <w:b/>
        </w:rPr>
        <w:t xml:space="preserve">დაგეგმილი კურსი:</w:t>
      </w:r>
      <w:r>
        <w:t xml:space="preserve"> </w:t>
      </w:r>
      <w:r>
        <w:t xml:space="preserve">ციფრული მზრუნველობის შეფასებისა და მართვის პროცესი. ახალი კურსი დაგეგმილია.</w:t>
      </w:r>
    </w:p>
    <w:bookmarkEnd w:id="46"/>
    <w:bookmarkStart w:id="49" w:name="ციტირებული-წყაროები"/>
    <w:p>
      <w:pPr>
        <w:pStyle w:val="Heading2"/>
      </w:pPr>
      <w:r>
        <w:t xml:space="preserve">ციტირებული წყაროები</w:t>
      </w:r>
    </w:p>
    <w:p>
      <w:pPr>
        <w:numPr>
          <w:ilvl w:val="0"/>
          <w:numId w:val="1014"/>
        </w:numPr>
        <w:pStyle w:val="Compact"/>
      </w:pPr>
      <w:r>
        <w:t xml:space="preserve">Accréditation Sans Frontières (2026). ASF ექსპერტთა კომიტეტის კონსენსუსი სტანდარტ 1-ზე.</w:t>
      </w:r>
      <w:r>
        <w:t xml:space="preserve"> </w:t>
      </w:r>
      <w:r>
        <w:t xml:space="preserve">(E-009)</w:t>
      </w:r>
    </w:p>
    <w:p>
      <w:pPr>
        <w:numPr>
          <w:ilvl w:val="0"/>
          <w:numId w:val="1014"/>
        </w:numPr>
        <w:pStyle w:val="Compact"/>
      </w:pPr>
      <w:r>
        <w:t xml:space="preserve">Accréditation Sans Frontières (2026). ASF პოლიტიკის ჩარჩო v1.2.</w:t>
      </w:r>
      <w:r>
        <w:t xml:space="preserve"> </w:t>
      </w:r>
      <w:r>
        <w:t xml:space="preserve">(E-006)</w:t>
      </w:r>
    </w:p>
    <w:p>
      <w:pPr>
        <w:pStyle w:val="FirstParagraph"/>
      </w:pPr>
      <w:hyperlink r:id="rId47">
        <w:r>
          <w:rPr>
            <w:rStyle w:val="Hyperlink"/>
          </w:rPr>
          <w:t xml:space="preserve">ჩამოტვირთეთ დოკუმენტი PDF ფორმატში</w:t>
        </w:r>
      </w:hyperlink>
    </w:p>
    <w:p>
      <w:pPr>
        <w:pStyle w:val="BodyText"/>
      </w:pPr>
      <w:hyperlink r:id="rId48">
        <w:r>
          <w:rPr>
            <w:rStyle w:val="Hyperlink"/>
          </w:rPr>
          <w:t xml:space="preserve">ჩამოტვირთეთ დოკუმენტი რედაქტირებადი Word ფაილის სახით</w:t>
        </w:r>
      </w:hyperlink>
    </w:p>
    <w:bookmarkEnd w:id="49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ka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hyperlink" Id="rId39" Target="/ka/documents/dig-frm-002/" TargetMode="External" /><Relationship Type="http://schemas.openxmlformats.org/officeDocument/2006/relationships/hyperlink" Id="rId41" Target="/ka/documents/dig-frm-004/" TargetMode="External" /><Relationship Type="http://schemas.openxmlformats.org/officeDocument/2006/relationships/hyperlink" Id="rId40" Target="/ka/documents/dig-pol-001/" TargetMode="External" /><Relationship Type="http://schemas.openxmlformats.org/officeDocument/2006/relationships/hyperlink" Id="rId22" Target="/ka/resources/sop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2d/" TargetMode="External" /><Relationship Type="http://schemas.openxmlformats.org/officeDocument/2006/relationships/hyperlink" Id="rId23" Target="/ka/standards/standard-2d/#c2d-1" TargetMode="External" /><Relationship Type="http://schemas.openxmlformats.org/officeDocument/2006/relationships/hyperlink" Id="rId45" Target="https://academy.gmj.ge/courses/asf-tm-01-en/" TargetMode="External" /><Relationship Type="http://schemas.openxmlformats.org/officeDocument/2006/relationships/hyperlink" Id="rId48" Target="https://france-asf.fr/wp-content/uploads/2026/10/dig-sop-002-form-1.docx" TargetMode="External" /><Relationship Type="http://schemas.openxmlformats.org/officeDocument/2006/relationships/hyperlink" Id="rId47" Target="https://france-asf.fr/wp-content/uploads/2026/10/dig-sop-002-form-a4-1.pd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9" Target="/ka/documents/dig-frm-002/" TargetMode="External" /><Relationship Type="http://schemas.openxmlformats.org/officeDocument/2006/relationships/hyperlink" Id="rId41" Target="/ka/documents/dig-frm-004/" TargetMode="External" /><Relationship Type="http://schemas.openxmlformats.org/officeDocument/2006/relationships/hyperlink" Id="rId40" Target="/ka/documents/dig-pol-001/" TargetMode="External" /><Relationship Type="http://schemas.openxmlformats.org/officeDocument/2006/relationships/hyperlink" Id="rId22" Target="/ka/resources/sop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2d/" TargetMode="External" /><Relationship Type="http://schemas.openxmlformats.org/officeDocument/2006/relationships/hyperlink" Id="rId23" Target="/ka/standards/standard-2d/#c2d-1" TargetMode="External" /><Relationship Type="http://schemas.openxmlformats.org/officeDocument/2006/relationships/hyperlink" Id="rId45" Target="https://academy.gmj.ge/courses/asf-tm-01-en/" TargetMode="External" /><Relationship Type="http://schemas.openxmlformats.org/officeDocument/2006/relationships/hyperlink" Id="rId48" Target="https://france-asf.fr/wp-content/uploads/2026/10/dig-sop-002-form-1.docx" TargetMode="External" /><Relationship Type="http://schemas.openxmlformats.org/officeDocument/2006/relationships/hyperlink" Id="rId47" Target="https://france-asf.fr/wp-content/uploads/2026/10/dig-sop-002-form-a4-1.pd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language>ka</dc:language>
  <cp:keywords/>
  <dcterms:created xsi:type="dcterms:W3CDTF">2026-11-07T01:47:57Z</dcterms:created>
  <dcterms:modified xsi:type="dcterms:W3CDTF">2026-11-07T01:47:57Z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