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1fc14d4bf0402b04221ef70aa15a1b848e8a1ec"/>
    <w:p>
      <w:pPr>
        <w:pStyle w:val="Heading1"/>
      </w:pPr>
      <w:r>
        <w:t xml:space="preserve">DIS-SOP-003: გეგმის ამოქმედების შემდგომი განხილვა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DIS-SOP-003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46.5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რეალური ამოქმედების ან მნიშვნელოვანი შედეგების მქონე წვრთნის შემდეგ, 14 დღის განმავლობაში ტარდება სტრუქტურირებული განხილვა.</w:t>
      </w:r>
    </w:p>
    <w:p>
      <w:pPr>
        <w:numPr>
          <w:ilvl w:val="0"/>
          <w:numId w:val="1001"/>
        </w:numPr>
        <w:pStyle w:val="Compact"/>
      </w:pPr>
      <w:r>
        <w:t xml:space="preserve">განხილვაში აღირიცხება, რა იმუშავა, რა არ იმუშავა და რატომ.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დასკვნა გეგმაში წერილობით ცვლილებად იქცევა, პასუხისმგებელი პირითა და თარიღით.</w:t>
      </w:r>
    </w:p>
    <w:p>
      <w:pPr>
        <w:numPr>
          <w:ilvl w:val="0"/>
          <w:numId w:val="1001"/>
        </w:numPr>
        <w:pStyle w:val="Compact"/>
      </w:pPr>
      <w:r>
        <w:t xml:space="preserve">მძიმე ინციდენტებიც გადის ძირითადი მიზეზის ანალიზს (INC-SOP-001).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ამოქმედების შედეგად გამოვლენილ დასკვნას გეგმაში წერილობითი ცვლილება არ აქვს.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ამოქმედება ან მნიშვნელოვანი წვრთნა გეგმას წერილობით აუმჯობესებს (46.5).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რეალური კატასტროფის ან ხარვეზების გამომჟღავნებელი წვრთნის შემდეგ გეგმა უნდა შეიცვალოს. მისი განხილვა ყოველი ამოქმედების შემდეგ მას რეალისტურად ინარჩუნებს.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განხილვას და ფლობს ცვლილებებს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ჩართული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მონაწილეობენ და წარმოადგენენ თავის მოხსენებას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ჩატარება.</w:t>
      </w:r>
    </w:p>
    <w:p>
      <w:pPr>
        <w:numPr>
          <w:ilvl w:val="0"/>
          <w:numId w:val="1004"/>
        </w:numPr>
        <w:pStyle w:val="Compact"/>
      </w:pPr>
      <w:r>
        <w:t xml:space="preserve">14 დღის განმავლობაში ჩაატარეთ სტრუქტურირებული განხილვა ჩართულ პერსონალთან ერთად.</w:t>
      </w:r>
    </w:p>
    <w:p>
      <w:pPr>
        <w:numPr>
          <w:ilvl w:val="0"/>
          <w:numId w:val="1004"/>
        </w:numPr>
        <w:pStyle w:val="Compact"/>
      </w:pPr>
      <w:r>
        <w:t xml:space="preserve">აღნუსხეთ დებრიფინგი (PTR-FRM-007).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ჩატარებულია.</w:t>
      </w:r>
    </w:p>
    <w:p>
      <w:pPr>
        <w:pStyle w:val="BodyText"/>
      </w:pPr>
      <w:r>
        <w:t xml:space="preserve">ეტაპი 2. ცვლილება.</w:t>
      </w:r>
    </w:p>
    <w:p>
      <w:pPr>
        <w:numPr>
          <w:ilvl w:val="0"/>
          <w:numId w:val="1005"/>
        </w:numPr>
        <w:pStyle w:val="Compact"/>
      </w:pPr>
      <w:r>
        <w:t xml:space="preserve">ყოველი ცვლილება გეგმაში ჩაწერეთ პასუხისმგებელი პირითა და თარიღით.</w:t>
      </w:r>
    </w:p>
    <w:p>
      <w:pPr>
        <w:numPr>
          <w:ilvl w:val="0"/>
          <w:numId w:val="1005"/>
        </w:numPr>
        <w:pStyle w:val="Compact"/>
      </w:pPr>
      <w:r>
        <w:t xml:space="preserve">ნებისმიერი მძიმე ინციდენტისთვის ჩაატარეთ ძირითადი მიზეზის ანალიზი (INC-SOP-001).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შეიცვალა.</w:t>
      </w:r>
    </w:p>
    <w:p>
      <w:pPr>
        <w:pStyle w:val="BodyText"/>
      </w:pPr>
      <w:r>
        <w:t xml:space="preserve">ეტაპი 3. შემოწმება.</w:t>
      </w:r>
    </w:p>
    <w:p>
      <w:pPr>
        <w:numPr>
          <w:ilvl w:val="0"/>
          <w:numId w:val="1006"/>
        </w:numPr>
        <w:pStyle w:val="Compact"/>
      </w:pPr>
      <w:r>
        <w:t xml:space="preserve">შემდეგ წვრთნამდე დაადასტურეთ, რომ ყოველი ცვლილება დამტკიცებულ გეგმაშია.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შემოწმებულია.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ამოქმედებები და მნიშვნელოვანი წვრთნები განხილვით 14 დღის განმავლობაში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მოვლენა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მიმართეთ საავადმყოფოს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დასკვნები განხილულია გეგმის წერილობითი ცვლილებით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მოვლენა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 თავიდან გახსენით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PTR-FRM-007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შემდგომი დებრიფინგის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მძიმე ინციდენტების ძირითადი მიზეზის ანალიზი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inc-sop-001/" TargetMode="External"/><Relationship Id="rId39" Type="http://schemas.openxmlformats.org/officeDocument/2006/relationships/hyperlink" Target="/documents/ptr-frm-007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6/" TargetMode="External"/><Relationship Id="rId23" Type="http://schemas.openxmlformats.org/officeDocument/2006/relationships/hyperlink" Target="/ka/standards/standard-46/#c46-5" TargetMode="External"/><Relationship Id="rId44" Type="http://schemas.openxmlformats.org/officeDocument/2006/relationships/hyperlink" Target="https://academy.gmj.ge/courses/asf-t-10-en/" TargetMode="Externa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inc-sop-001/" TargetMode="External"/><Relationship Id="rId39" Type="http://schemas.openxmlformats.org/officeDocument/2006/relationships/hyperlink" Target="/documents/ptr-frm-007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6/" TargetMode="External"/><Relationship Id="rId23" Type="http://schemas.openxmlformats.org/officeDocument/2006/relationships/hyperlink" Target="/ka/standards/standard-46/#c46-5" TargetMode="External"/><Relationship Id="rId44" Type="http://schemas.openxmlformats.org/officeDocument/2006/relationships/hyperlink" Target="https://academy.gmj.ge/courses/asf-t-10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2026-11-07T01:02:16Z</dcterms:created>
  <dcterms:modified xsi:type="dcterms:W3CDTF">2026-11-07T01:02:16Z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