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47" w:name="Xb12692bfb147697cbec0f83da6dfe500ba80fcf"/>
    <w:p>
      <w:pPr>
        <w:pStyle w:val="Heading1"/>
      </w:pPr>
      <w:r>
        <w:t xml:space="preserve">EDP-POL-002: სარეზერვო კვება, კომუნიკაცია და აღჭურვილობა</w:t>
      </w:r>
    </w:p>
    <w:p>
      <w:pPr>
        <w:pStyle w:val="FirstParagraph"/>
      </w:pPr>
      <w:hyperlink r:id="rId20">
        <w:r>
          <w:rPr>
            <w:rStyle w:val="Hyperlink"/>
          </w:rPr>
          <w:t xml:space="preserve">სტანდარტები</w:t>
        </w:r>
      </w:hyperlink>
      <w:r>
        <w:t xml:space="preserve"> </w:t>
      </w:r>
      <w:r>
        <w:t xml:space="preserve">›</w:t>
      </w:r>
      <w:r>
        <w:t xml:space="preserve"> </w:t>
      </w:r>
      <w:hyperlink r:id="rId21">
        <w:r>
          <w:rPr>
            <w:rStyle w:val="Hyperlink"/>
          </w:rPr>
          <w:t xml:space="preserve">სტანდარტი 7</w:t>
        </w:r>
      </w:hyperlink>
      <w:r>
        <w:t xml:space="preserve"> </w:t>
      </w:r>
      <w:r>
        <w:t xml:space="preserve">›</w:t>
      </w:r>
      <w:r>
        <w:t xml:space="preserve"> </w:t>
      </w:r>
      <w:hyperlink r:id="rId22">
        <w:r>
          <w:rPr>
            <w:rStyle w:val="Hyperlink"/>
          </w:rPr>
          <w:t xml:space="preserve">პოლიტიკები</w:t>
        </w:r>
      </w:hyperlink>
    </w:p>
    <w:p>
      <w:pPr>
        <w:pStyle w:val="BodyText"/>
      </w:pPr>
      <w:r>
        <w:t xml:space="preserve">პოლიტიკა · EDP-POL-002 · ვერსია 1.0 · დამტკიცებულია ASF ექსპერტთა კომიტეტის მიერ</w:t>
      </w:r>
    </w:p>
    <w:p>
      <w:pPr>
        <w:pStyle w:val="BodyText"/>
      </w:pPr>
      <w:r>
        <w:rPr>
          <w:bCs/>
          <w:b/>
        </w:rPr>
        <w:t xml:space="preserve">მხარს უჭერს:</w:t>
      </w:r>
      <w:r>
        <w:t xml:space="preserve"> </w:t>
      </w:r>
      <w:hyperlink r:id="rId23">
        <w:r>
          <w:rPr>
            <w:rStyle w:val="Hyperlink"/>
          </w:rPr>
          <w:t xml:space="preserve">7.6</w:t>
        </w:r>
      </w:hyperlink>
    </w:p>
    <w:p>
      <w:pPr>
        <w:pStyle w:val="BodyText"/>
      </w:pPr>
      <w:r>
        <w:t xml:space="preserve">მოკლედ</w:t>
      </w:r>
    </w:p>
    <w:p>
      <w:pPr>
        <w:numPr>
          <w:ilvl w:val="0"/>
          <w:numId w:val="1001"/>
        </w:numPr>
        <w:pStyle w:val="Compact"/>
      </w:pPr>
      <w:r>
        <w:t xml:space="preserve">დისპეტჩერული სისტემას აქვს სარეზერვო კვება, კომუნიკაცია და აღჭურვილობა.</w:t>
      </w:r>
    </w:p>
    <w:p>
      <w:pPr>
        <w:numPr>
          <w:ilvl w:val="0"/>
          <w:numId w:val="1001"/>
        </w:numPr>
        <w:pStyle w:val="Compact"/>
      </w:pPr>
      <w:r>
        <w:t xml:space="preserve">ყოველი სარეზერვო მოწყობილობა დადგენილი გრაფიკით მოწმდება, და ტესტი აღინუსხება.</w:t>
      </w:r>
    </w:p>
    <w:p>
      <w:pPr>
        <w:numPr>
          <w:ilvl w:val="0"/>
          <w:numId w:val="1001"/>
        </w:numPr>
        <w:pStyle w:val="Compact"/>
      </w:pPr>
      <w:r>
        <w:t xml:space="preserve">გაუმართაობისას ზარები დადგენილ ვადაში სარეზერვო სისტემაზე გადადის.</w:t>
      </w:r>
    </w:p>
    <w:p>
      <w:pPr>
        <w:numPr>
          <w:ilvl w:val="0"/>
          <w:numId w:val="1001"/>
        </w:numPr>
        <w:pStyle w:val="Compact"/>
      </w:pPr>
      <w:r>
        <w:t xml:space="preserve">სარეზერვო სისტემა სარეზერვო გეგმის ნაწილია.</w:t>
      </w:r>
    </w:p>
    <w:p>
      <w:pPr>
        <w:numPr>
          <w:ilvl w:val="0"/>
          <w:numId w:val="1001"/>
        </w:numPr>
        <w:pStyle w:val="Compact"/>
      </w:pPr>
      <w:r>
        <w:t xml:space="preserve">დაუყოვნებლივ შეაჩერეთ და მიმართეთ დახმარებას, თუ: სისტემა გაუმართავია და ზარებს სარეზერვო სისტემაზეც ვერ პასუხობენ ან ვერ აგზავნიან.</w:t>
      </w:r>
    </w:p>
    <w:bookmarkStart w:id="24" w:name="მიზანი"/>
    <w:p>
      <w:pPr>
        <w:pStyle w:val="Heading2"/>
      </w:pPr>
      <w:r>
        <w:t xml:space="preserve">1. მიზანი</w:t>
      </w:r>
    </w:p>
    <w:p>
      <w:pPr>
        <w:pStyle w:val="FirstParagraph"/>
      </w:pPr>
      <w:r>
        <w:t xml:space="preserve">იმისათვის, რომ ზარებს პასუხი გაეცეს, როცა კვება, ხაზები ან სისტემა გაუმართავია (7.6).</w:t>
      </w:r>
    </w:p>
    <w:bookmarkEnd w:id="24"/>
    <w:bookmarkStart w:id="25" w:name="სფერო"/>
    <w:p>
      <w:pPr>
        <w:pStyle w:val="Heading2"/>
      </w:pPr>
      <w:r>
        <w:t xml:space="preserve">2. სფერო</w:t>
      </w:r>
    </w:p>
    <w:tbl>
      <w:tblPr>
        <w:tblStyle w:val="Table"/>
        <w:tblW w:type="auto" w:w="0"/>
        <w:tblLook w:firstRow="0" w:lastRow="0" w:firstColumn="0" w:lastColumn="0" w:noHBand="0" w:noVBand="0" w:val="0000"/>
        <w:jc w:val="start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ვრცელდება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საავადმყოფოს კლინიკური და დამხმარე პერსონალი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ადგილები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დაწესებულების ყველა პალატა, კლინიკა და განყოფილება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როდის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ყოველთვის, როცა სრულდება აღწერილი საქმიანობა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არ ვრცელდება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საქმიანობა, რომელსაც მოიცავს სხვა დოკუმენტი, ჩამოთვლილი მე-15 განყოფილებაში</w:t>
            </w:r>
          </w:p>
        </w:tc>
      </w:tr>
    </w:tbl>
    <w:bookmarkEnd w:id="25"/>
    <w:bookmarkStart w:id="26" w:name="განმარტებები"/>
    <w:p>
      <w:pPr>
        <w:pStyle w:val="Heading2"/>
      </w:pPr>
      <w:r>
        <w:t xml:space="preserve">3. განმარტებები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ტერმინი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მნიშვნელობა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კლინიკური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ექიმი ან ექთანი, რომელიც ამ დროს უძღვება უბანს</w:t>
            </w:r>
          </w:p>
        </w:tc>
      </w:tr>
    </w:tbl>
    <w:bookmarkEnd w:id="26"/>
    <w:bookmarkStart w:id="27" w:name="საფუძვლები"/>
    <w:p>
      <w:pPr>
        <w:pStyle w:val="Heading2"/>
      </w:pPr>
      <w:r>
        <w:t xml:space="preserve">4. საფუძვლები</w:t>
      </w:r>
    </w:p>
    <w:p>
      <w:pPr>
        <w:pStyle w:val="FirstParagraph"/>
      </w:pPr>
      <w:r>
        <w:t xml:space="preserve">როცა დატვირთულ ცვლაში კვება, სატელეფონო ხაზები ან სისტემა გაუმართავია, ზარებს მაინც პასუხი უნდა გაეცეს. მხოლოდ შემოწმებული სარეზერვო სისტემით შეიძლება იმის დადასტურება, რომ ის იმუშავებს.</w:t>
      </w:r>
    </w:p>
    <w:bookmarkEnd w:id="27"/>
    <w:bookmarkStart w:id="28" w:name="პასუხისმგებლობები"/>
    <w:p>
      <w:pPr>
        <w:pStyle w:val="Heading2"/>
      </w:pPr>
      <w:r>
        <w:t xml:space="preserve">5. პასუხისმგებლობები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როლი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პასუხისმგებლობა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კომპეტენცია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ოპერაციების მენეჯერი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ფლობს სარეზერვო სისტემასა და მის ტესტებს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მენეჯმენტი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IT და ობიექტის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ატესტებს და ინახავს სარეზერვო სისტემას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ტექნიკური</w:t>
            </w:r>
          </w:p>
        </w:tc>
      </w:tr>
    </w:tbl>
    <w:bookmarkEnd w:id="28"/>
    <w:bookmarkStart w:id="29" w:name="მასალები-და-აღჭურვილობა"/>
    <w:p>
      <w:pPr>
        <w:pStyle w:val="Heading2"/>
      </w:pPr>
      <w:r>
        <w:t xml:space="preserve">6. მასალები და აღჭურვილობა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ერთეული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მოთხოვნა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მდგომარეობა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ამ დოკუმენტში მითითებული ჩანაწერები და ფორმები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მიმდინარე 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შემოწმებულია გამოყენებამდე</w:t>
            </w:r>
          </w:p>
        </w:tc>
      </w:tr>
    </w:tbl>
    <w:bookmarkEnd w:id="29"/>
    <w:bookmarkStart w:id="30" w:name="უსაფრთხოება"/>
    <w:p>
      <w:pPr>
        <w:pStyle w:val="Heading2"/>
      </w:pPr>
      <w:r>
        <w:t xml:space="preserve">7. უსაფრთხოება</w:t>
      </w:r>
    </w:p>
    <w:p>
      <w:pPr>
        <w:numPr>
          <w:ilvl w:val="0"/>
          <w:numId w:val="1002"/>
        </w:numPr>
        <w:pStyle w:val="Compact"/>
      </w:pPr>
      <w:r>
        <w:t xml:space="preserve">თუ პაციენტი პირდაპირ საფრთხის ქვეშაა, შეაჩერეთ საქმიანობა და გამოიძახეთ დახმარება. გადაუდებელი მოვლა არ გადადოთ დოკუმენტაციის შევსების გამო.</w:t>
      </w:r>
    </w:p>
    <w:bookmarkEnd w:id="30"/>
    <w:bookmarkStart w:id="31" w:name="დაწყებამდე"/>
    <w:p>
      <w:pPr>
        <w:pStyle w:val="Heading2"/>
      </w:pPr>
      <w:r>
        <w:t xml:space="preserve">8. დაწყებამდე</w:t>
      </w:r>
    </w:p>
    <w:p>
      <w:pPr>
        <w:numPr>
          <w:ilvl w:val="0"/>
          <w:numId w:val="1003"/>
        </w:numPr>
        <w:pStyle w:val="Compact"/>
      </w:pPr>
      <w:r>
        <w:t xml:space="preserve">დარწმუნდით, რომ ამ დოკუმენტში მითითებული ფორმები და აღჭურვილობა ხელმისაწვდომია და მიმდინარეა.</w:t>
      </w:r>
    </w:p>
    <w:bookmarkEnd w:id="31"/>
    <w:bookmarkStart w:id="32" w:name="პროცედურა"/>
    <w:p>
      <w:pPr>
        <w:pStyle w:val="Heading2"/>
      </w:pPr>
      <w:r>
        <w:t xml:space="preserve">9. პროცედურა</w:t>
      </w:r>
    </w:p>
    <w:p>
      <w:pPr>
        <w:pStyle w:val="FirstParagraph"/>
      </w:pPr>
      <w:r>
        <w:t xml:space="preserve">ეტაპი 1. სარეზერვო სისტემის ქონა.</w:t>
      </w:r>
    </w:p>
    <w:p>
      <w:pPr>
        <w:numPr>
          <w:ilvl w:val="0"/>
          <w:numId w:val="1004"/>
        </w:numPr>
        <w:pStyle w:val="Compact"/>
      </w:pPr>
      <w:r>
        <w:t xml:space="preserve">შეინახეთ სარეზერვო კვება, მეორე საკომუნიკაციო ხაზი და სარეზერვო დისპეტჩერული სისტემა.</w:t>
      </w:r>
    </w:p>
    <w:p>
      <w:pPr>
        <w:pStyle w:val="FirstParagraph"/>
      </w:pPr>
      <w:r>
        <w:rPr>
          <w:bCs/>
          <w:b/>
        </w:rPr>
        <w:t xml:space="preserve">მთავარი:</w:t>
      </w:r>
      <w:r>
        <w:t xml:space="preserve"> </w:t>
      </w:r>
      <w:r>
        <w:t xml:space="preserve">ყოველ გაუმართაობას აქვს სარეზერვო სისტემა.</w:t>
      </w:r>
    </w:p>
    <w:p>
      <w:pPr>
        <w:pStyle w:val="BodyText"/>
      </w:pPr>
      <w:r>
        <w:t xml:space="preserve">ეტაპი 2. ტესტირება.</w:t>
      </w:r>
    </w:p>
    <w:p>
      <w:pPr>
        <w:numPr>
          <w:ilvl w:val="0"/>
          <w:numId w:val="1005"/>
        </w:numPr>
        <w:pStyle w:val="Compact"/>
      </w:pPr>
      <w:r>
        <w:t xml:space="preserve">ყოველი სარეზერვო სისტემა გრაფიკით შეამოწმეთ და აღნუსხეთ (EDP-REG-003).</w:t>
      </w:r>
    </w:p>
    <w:p>
      <w:pPr>
        <w:pStyle w:val="FirstParagraph"/>
      </w:pPr>
      <w:r>
        <w:rPr>
          <w:bCs/>
          <w:b/>
        </w:rPr>
        <w:t xml:space="preserve">მთავარი:</w:t>
      </w:r>
      <w:r>
        <w:t xml:space="preserve"> </w:t>
      </w:r>
      <w:r>
        <w:t xml:space="preserve">შეუმოწმებელი სარეზერვო სისტემა სარეზერვო არ არის.</w:t>
      </w:r>
    </w:p>
    <w:p>
      <w:pPr>
        <w:pStyle w:val="BodyText"/>
      </w:pPr>
      <w:r>
        <w:t xml:space="preserve">ეტაპი 3. გადართვა.</w:t>
      </w:r>
    </w:p>
    <w:p>
      <w:pPr>
        <w:numPr>
          <w:ilvl w:val="0"/>
          <w:numId w:val="1006"/>
        </w:numPr>
        <w:pStyle w:val="Compact"/>
      </w:pPr>
      <w:r>
        <w:t xml:space="preserve">გაუმართაობისას დადგენილ ვადაში გადართეთ სარეზერვო სისტემაზე და აღნუსხეთ გადართვა.</w:t>
      </w:r>
    </w:p>
    <w:p>
      <w:pPr>
        <w:pStyle w:val="FirstParagraph"/>
      </w:pPr>
      <w:r>
        <w:rPr>
          <w:bCs/>
          <w:b/>
        </w:rPr>
        <w:t xml:space="preserve">მთავარი:</w:t>
      </w:r>
      <w:r>
        <w:t xml:space="preserve"> </w:t>
      </w:r>
      <w:r>
        <w:t xml:space="preserve">გადართვა დროში.</w:t>
      </w:r>
    </w:p>
    <w:bookmarkEnd w:id="32"/>
    <w:bookmarkStart w:id="33" w:name="გადაწყვეტილების-წერტილები"/>
    <w:p>
      <w:pPr>
        <w:pStyle w:val="Heading2"/>
      </w:pPr>
      <w:r>
        <w:t xml:space="preserve">10. გადაწყვეტილების წერტილები</w:t>
      </w:r>
    </w:p>
    <w:p>
      <w:pPr>
        <w:numPr>
          <w:ilvl w:val="0"/>
          <w:numId w:val="1007"/>
        </w:numPr>
        <w:pStyle w:val="Compact"/>
      </w:pPr>
      <w:r>
        <w:t xml:space="preserve">ამ პროცედურაში გადაწყვეტილების წერტილები არ არის.</w:t>
      </w:r>
    </w:p>
    <w:bookmarkEnd w:id="33"/>
    <w:bookmarkStart w:id="34" w:name="განსაკუთრებული-სიტუაციები"/>
    <w:p>
      <w:pPr>
        <w:pStyle w:val="Heading2"/>
      </w:pPr>
      <w:r>
        <w:t xml:space="preserve">11. განსაკუთრებული სიტუაციები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სიტუაცია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მოქმედება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არასამუშაო საათები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მიჰყევით იგივე ნაბიჯებს. გამოიყენეთ უბნის კედელზე მითითებული მორიგე საკონტაქტო ინფორმაცია.</w:t>
            </w:r>
          </w:p>
        </w:tc>
      </w:tr>
    </w:tbl>
    <w:bookmarkEnd w:id="34"/>
    <w:bookmarkStart w:id="35" w:name="ესკალაცია"/>
    <w:p>
      <w:pPr>
        <w:pStyle w:val="Heading2"/>
      </w:pPr>
      <w:r>
        <w:t xml:space="preserve">12. ესკალაცია</w:t>
      </w:r>
    </w:p>
    <w:p>
      <w:pPr>
        <w:numPr>
          <w:ilvl w:val="0"/>
          <w:numId w:val="1008"/>
        </w:numPr>
        <w:pStyle w:val="Compact"/>
      </w:pPr>
      <w:r>
        <w:t xml:space="preserve">ყოველი სერიოზული პრობლემა დაუყოვნებლივ გადაეცემა მორიგე კლინიკურ ხელმძღვანელს, ხოლო იმავე დღეს — კლინიკურ დირექტორს.</w:t>
      </w:r>
    </w:p>
    <w:bookmarkEnd w:id="35"/>
    <w:bookmarkStart w:id="36" w:name="მონიტორინგი"/>
    <w:p>
      <w:pPr>
        <w:pStyle w:val="Heading2"/>
      </w:pPr>
      <w:r>
        <w:t xml:space="preserve">13. მონიტორინგი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584"/>
        <w:gridCol w:w="1584"/>
        <w:gridCol w:w="1584"/>
        <w:gridCol w:w="1584"/>
        <w:gridCol w:w="1584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მაჩვენებელი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სამიზნე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სიხშირე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პასუხისმგებელი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თუ არ შესრულდა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სარეზერვო სისტემები გრაფიკით შემოწმებული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ყოველკვარტალურად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IT და ობიექტის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ესკალაცია მთავარ აღმასრულებელთან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გაუმართაობები, გადართული სარეზერვო სისტემაზე დადგენილ ვადაში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ყოველწლიურად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ოპერაციების მენეჯერი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ესკალაცია მთავარ აღმასრულებელთან</w:t>
            </w:r>
          </w:p>
        </w:tc>
      </w:tr>
    </w:tbl>
    <w:bookmarkEnd w:id="36"/>
    <w:bookmarkStart w:id="37" w:name="ჩანაწერები"/>
    <w:p>
      <w:pPr>
        <w:pStyle w:val="Heading2"/>
      </w:pPr>
      <w:r>
        <w:t xml:space="preserve">14. ჩანაწერები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ჩანაწერი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ინახება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შენახვის ვადა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ამ დოკუმენტში მითითებული ჩანაწერი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პაციენტის ისტორია ან უბნის საქმე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დაწესებულების ჩანაწერების პოლიტიკით დადგენილი პერიოდი, წლები</w:t>
            </w:r>
          </w:p>
        </w:tc>
      </w:tr>
    </w:tbl>
    <w:bookmarkEnd w:id="37"/>
    <w:bookmarkStart w:id="38" w:name="ტრენინგი"/>
    <w:p>
      <w:pPr>
        <w:pStyle w:val="Heading2"/>
      </w:pPr>
      <w:r>
        <w:t xml:space="preserve">15. ტრენინგი</w:t>
      </w:r>
    </w:p>
    <w:p>
      <w:pPr>
        <w:numPr>
          <w:ilvl w:val="0"/>
          <w:numId w:val="1009"/>
        </w:numPr>
        <w:pStyle w:val="Compact"/>
      </w:pPr>
      <w:r>
        <w:t xml:space="preserve">პერსონალი ამ დოკუმენტში ივარჯიშებს ჩართვისას და ყოველ წელს განახლდება, დაფიქსირებული კომპეტენციის შემოწმებით.</w:t>
      </w:r>
    </w:p>
    <w:bookmarkEnd w:id="38"/>
    <w:bookmarkStart w:id="41" w:name="დაკავშირებული-დოკუმენტები"/>
    <w:p>
      <w:pPr>
        <w:pStyle w:val="Heading2"/>
      </w:pPr>
      <w:r>
        <w:t xml:space="preserve">16. დაკავშირებული დოკუმენტები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ID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სათაური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გამოყენება</w:t>
            </w:r>
          </w:p>
        </w:tc>
      </w:tr>
      <w:tr>
        <w:tc>
          <w:tcPr/>
          <w:p>
            <w:pPr>
              <w:pStyle w:val="Compact"/>
              <w:jc w:val="left"/>
            </w:pPr>
            <w:hyperlink r:id="rId39">
              <w:r>
                <w:rPr>
                  <w:rStyle w:val="Hyperlink"/>
                </w:rPr>
                <w:t xml:space="preserve">EDP-REG-003</w:t>
              </w:r>
            </w:hyperlink>
          </w:p>
        </w:tc>
        <w:tc>
          <w:tcPr/>
          <w:p>
            <w:pPr>
              <w:pStyle w:val="Compact"/>
              <w:jc w:val="left"/>
            </w:pPr>
            <w:r>
              <w:t xml:space="preserve">სარეზერვო ტესტის ჟურნალი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ჟურნალი</w:t>
            </w:r>
          </w:p>
        </w:tc>
      </w:tr>
      <w:tr>
        <w:tc>
          <w:tcPr/>
          <w:p>
            <w:pPr>
              <w:pStyle w:val="Compact"/>
              <w:jc w:val="left"/>
            </w:pPr>
            <w:hyperlink r:id="rId40">
              <w:r>
                <w:rPr>
                  <w:rStyle w:val="Hyperlink"/>
                </w:rPr>
                <w:t xml:space="preserve">PTR-SOP-012</w:t>
              </w:r>
            </w:hyperlink>
          </w:p>
        </w:tc>
        <w:tc>
          <w:tcPr/>
          <w:p>
            <w:pPr>
              <w:pStyle w:val="Compact"/>
              <w:jc w:val="left"/>
            </w:pPr>
            <w:r>
              <w:t xml:space="preserve">Contingency, breakdown, surge and diversion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სარეზერვო გეგმა</w:t>
            </w:r>
          </w:p>
        </w:tc>
      </w:tr>
    </w:tbl>
    <w:bookmarkEnd w:id="41"/>
    <w:bookmarkStart w:id="42" w:name="მტკიცებულებები"/>
    <w:p>
      <w:pPr>
        <w:pStyle w:val="Heading2"/>
      </w:pPr>
      <w:r>
        <w:t xml:space="preserve">17. მტკიცებულებები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მითითება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შენიშვნა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Expert Committee consensus.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Policy Framework v1.2. Adapted.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Expert Committee consensus.</w:t>
            </w:r>
          </w:p>
        </w:tc>
      </w:tr>
    </w:tbl>
    <w:bookmarkEnd w:id="42"/>
    <w:bookmarkStart w:id="43" w:name="ცვლილებების-ისტორია"/>
    <w:p>
      <w:pPr>
        <w:pStyle w:val="Heading2"/>
      </w:pPr>
      <w:r>
        <w:t xml:space="preserve">18. ცვლილებების ისტორია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რა შეიცვალა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პირველი ვერსია</w:t>
            </w:r>
          </w:p>
        </w:tc>
        <w:tc>
          <w:tcPr/>
          <w:p>
            <w:pPr>
              <w:pStyle w:val="Compact"/>
            </w:pPr>
          </w:p>
        </w:tc>
      </w:tr>
    </w:tbl>
    <w:bookmarkEnd w:id="43"/>
    <w:bookmarkStart w:id="45" w:name="ამ-დოკუმენტის-ელექტრონული-სწავლება"/>
    <w:p>
      <w:pPr>
        <w:pStyle w:val="Heading2"/>
      </w:pPr>
      <w:r>
        <w:t xml:space="preserve">ამ დოკუმენტის ელექტრონული სწავლება</w:t>
      </w:r>
    </w:p>
    <w:p>
      <w:pPr>
        <w:numPr>
          <w:ilvl w:val="0"/>
          <w:numId w:val="1010"/>
        </w:numPr>
        <w:pStyle w:val="Compact"/>
      </w:pPr>
      <w:hyperlink r:id="rId44">
        <w:r>
          <w:rPr>
            <w:rStyle w:val="Hyperlink"/>
          </w:rPr>
          <w:t xml:space="preserve">Emergency Preparedness and Fire Safety</w:t>
        </w:r>
      </w:hyperlink>
      <w:r>
        <w:t xml:space="preserve"> </w:t>
      </w:r>
      <w:r>
        <w:t xml:space="preserve">(T-10)</w:t>
      </w:r>
    </w:p>
    <w:p>
      <w:pPr>
        <w:numPr>
          <w:ilvl w:val="0"/>
          <w:numId w:val="1010"/>
        </w:numPr>
        <w:pStyle w:val="Compact"/>
      </w:pPr>
      <w:r>
        <w:t xml:space="preserve">Emergency Escalation for the Remote Patient</w:t>
      </w:r>
      <w:r>
        <w:t xml:space="preserve"> </w:t>
      </w:r>
      <w:r>
        <w:t xml:space="preserve">(TM-04)</w:t>
      </w:r>
    </w:p>
    <w:bookmarkEnd w:id="45"/>
    <w:bookmarkStart w:id="46" w:name="წყაროები"/>
    <w:p>
      <w:pPr>
        <w:pStyle w:val="Heading2"/>
      </w:pPr>
      <w:r>
        <w:t xml:space="preserve">წყაროები</w:t>
      </w:r>
    </w:p>
    <w:p>
      <w:pPr>
        <w:numPr>
          <w:ilvl w:val="0"/>
          <w:numId w:val="1011"/>
        </w:numPr>
        <w:pStyle w:val="Compact"/>
      </w:pPr>
      <w:r>
        <w:t xml:space="preserve">Accréditation Sans Frontières (2026). ASF Policy Framework v1.2.</w:t>
      </w:r>
      <w:r>
        <w:t xml:space="preserve"> </w:t>
      </w:r>
      <w:r>
        <w:t xml:space="preserve">(E-006)</w:t>
      </w:r>
    </w:p>
    <w:p>
      <w:pPr>
        <w:numPr>
          <w:ilvl w:val="0"/>
          <w:numId w:val="1011"/>
        </w:numPr>
        <w:pStyle w:val="Compact"/>
      </w:pPr>
      <w:r>
        <w:t xml:space="preserve">Accréditation Sans Frontières (2026). ASF Expert Committee consensus on Standard 1.</w:t>
      </w:r>
      <w:r>
        <w:t xml:space="preserve"> </w:t>
      </w:r>
      <w:r>
        <w:t xml:space="preserve">(E-009)</w:t>
      </w:r>
    </w:p>
    <w:bookmarkEnd w:id="46"/>
    <w:bookmarkEnd w:id="47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  <w:rPr>
      <w:rFonts w:ascii="Sylfaen" w:hAnsi="Sylfaen"/>
    </w:rPr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 w:ascii="Sylfaen" w:hAnsi="Sylfaen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Relationship Id="rId39" Type="http://schemas.openxmlformats.org/officeDocument/2006/relationships/hyperlink" Target="/documents/edp-reg-003/" TargetMode="External"/><Relationship Id="rId40" Type="http://schemas.openxmlformats.org/officeDocument/2006/relationships/hyperlink" Target="/documents/ptr-sop-012/" TargetMode="External"/><Relationship Id="rId22" Type="http://schemas.openxmlformats.org/officeDocument/2006/relationships/hyperlink" Target="/ka/resources/policies/" TargetMode="External"/><Relationship Id="rId20" Type="http://schemas.openxmlformats.org/officeDocument/2006/relationships/hyperlink" Target="/ka/standards/" TargetMode="External"/><Relationship Id="rId21" Type="http://schemas.openxmlformats.org/officeDocument/2006/relationships/hyperlink" Target="/ka/standards/standard-7/" TargetMode="External"/><Relationship Id="rId23" Type="http://schemas.openxmlformats.org/officeDocument/2006/relationships/hyperlink" Target="/ka/standards/standard-7/#c7-6" TargetMode="External"/><Relationship Id="rId44" Type="http://schemas.openxmlformats.org/officeDocument/2006/relationships/hyperlink" Target="https://academy.gmj.ge/courses/asf-t-10-en/" TargetMode="External"/></Relationships>
</file>

<file path=word/_rels/footnotes.xml.rels><?xml version='1.0' encoding='UTF-8' standalone='yes'?>
<Relationships xmlns="http://schemas.openxmlformats.org/package/2006/relationships"><Relationship Id="rId39" Type="http://schemas.openxmlformats.org/officeDocument/2006/relationships/hyperlink" Target="/documents/edp-reg-003/" TargetMode="External"/><Relationship Id="rId40" Type="http://schemas.openxmlformats.org/officeDocument/2006/relationships/hyperlink" Target="/documents/ptr-sop-012/" TargetMode="External"/><Relationship Id="rId22" Type="http://schemas.openxmlformats.org/officeDocument/2006/relationships/hyperlink" Target="/ka/resources/policies/" TargetMode="External"/><Relationship Id="rId20" Type="http://schemas.openxmlformats.org/officeDocument/2006/relationships/hyperlink" Target="/ka/standards/" TargetMode="External"/><Relationship Id="rId21" Type="http://schemas.openxmlformats.org/officeDocument/2006/relationships/hyperlink" Target="/ka/standards/standard-7/" TargetMode="External"/><Relationship Id="rId23" Type="http://schemas.openxmlformats.org/officeDocument/2006/relationships/hyperlink" Target="/ka/standards/standard-7/#c7-6" TargetMode="External"/><Relationship Id="rId44" Type="http://schemas.openxmlformats.org/officeDocument/2006/relationships/hyperlink" Target="https://academy.gmj.ge/courses/asf-t-10-e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2026-11-07T01:37:13Z</dcterms:created>
  <dcterms:modified xsi:type="dcterms:W3CDTF">2026-11-07T01:37:13Z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