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EDP-SOP-004:</w:t>
      </w:r>
      <w:r>
        <w:t xml:space="preserve"> </w:t>
      </w:r>
      <w:r>
        <w:t xml:space="preserve">რიგში</w:t>
      </w:r>
      <w:r>
        <w:t xml:space="preserve"> </w:t>
      </w:r>
      <w:r>
        <w:t xml:space="preserve">მდგომი</w:t>
      </w:r>
      <w:r>
        <w:t xml:space="preserve"> </w:t>
      </w:r>
      <w:r>
        <w:t xml:space="preserve">ზარები</w:t>
      </w:r>
      <w:r>
        <w:t xml:space="preserve"> </w:t>
      </w:r>
      <w:r>
        <w:t xml:space="preserve">და</w:t>
      </w:r>
      <w:r>
        <w:t xml:space="preserve"> </w:t>
      </w:r>
      <w:r>
        <w:t xml:space="preserve">გადაცემა</w:t>
      </w:r>
      <w:r>
        <w:t xml:space="preserve"> </w:t>
      </w:r>
      <w:r>
        <w:t xml:space="preserve">დეჟურ</w:t>
      </w:r>
      <w:r>
        <w:t xml:space="preserve"> </w:t>
      </w:r>
      <w:r>
        <w:t xml:space="preserve">მენეჯერთან</w:t>
      </w:r>
    </w:p>
    <w:bookmarkStart w:id="45" w:name="X232ca1414e659637492d150bf516b759b22cd57"/>
    <w:p>
      <w:pPr>
        <w:pStyle w:val="Heading1"/>
      </w:pPr>
      <w:r>
        <w:t xml:space="preserve">EDP-SOP-004: რიგში მდგომი ზარები და გადაცემა დეჟურ მენეჯერთან</w:t>
      </w:r>
    </w:p>
    <w:p>
      <w:pPr>
        <w:pStyle w:val="FirstParagraph"/>
      </w:pPr>
      <w:hyperlink r:id="rId20">
        <w:r>
          <w:rPr>
            <w:rStyle w:val="Hyperlink"/>
          </w:rPr>
          <w:t xml:space="preserve">სტანდარტები</w:t>
        </w:r>
      </w:hyperlink>
      <w:r>
        <w:t xml:space="preserve"> </w:t>
      </w:r>
      <w:r>
        <w:t xml:space="preserve">›</w:t>
      </w:r>
      <w:r>
        <w:t xml:space="preserve"> </w:t>
      </w:r>
      <w:hyperlink r:id="rId21">
        <w:r>
          <w:rPr>
            <w:rStyle w:val="Hyperlink"/>
          </w:rPr>
          <w:t xml:space="preserve">სტანდარტი 7</w:t>
        </w:r>
      </w:hyperlink>
      <w:r>
        <w:t xml:space="preserve"> </w:t>
      </w:r>
      <w:r>
        <w:t xml:space="preserve">›</w:t>
      </w:r>
      <w:r>
        <w:t xml:space="preserve"> </w:t>
      </w:r>
      <w:hyperlink r:id="rId22">
        <w:r>
          <w:rPr>
            <w:rStyle w:val="Hyperlink"/>
          </w:rPr>
          <w:t xml:space="preserve">სტანდარტული საოპერაციო პროცედურები (SOPs)</w:t>
        </w:r>
      </w:hyperlink>
    </w:p>
    <w:p>
      <w:pPr>
        <w:pStyle w:val="BodyText"/>
      </w:pPr>
      <w:r>
        <w:t xml:space="preserve">სტანდარტული საოპერაციო პროცედურა (SOP) · EDP-SOP-004 · ვერსია 1.0 · დამტკიცებულია ASF ექსპერტთა კომიტეტის მიერ</w:t>
      </w:r>
    </w:p>
    <w:p>
      <w:pPr>
        <w:pStyle w:val="BodyText"/>
      </w:pPr>
      <w:r>
        <w:rPr>
          <w:bCs/>
          <w:b/>
        </w:rPr>
        <w:t xml:space="preserve">მხარს უჭერს:</w:t>
      </w:r>
      <w:r>
        <w:t xml:space="preserve"> </w:t>
      </w:r>
      <w:hyperlink r:id="rId23">
        <w:r>
          <w:rPr>
            <w:rStyle w:val="Hyperlink"/>
          </w:rPr>
          <w:t xml:space="preserve">7.8</w:t>
        </w:r>
      </w:hyperlink>
    </w:p>
    <w:p>
      <w:pPr>
        <w:pStyle w:val="BodyText"/>
      </w:pPr>
      <w:r>
        <w:t xml:space="preserve">მოკლედ</w:t>
      </w:r>
    </w:p>
    <w:p>
      <w:pPr>
        <w:numPr>
          <w:ilvl w:val="0"/>
          <w:numId w:val="1001"/>
        </w:numPr>
        <w:pStyle w:val="Compact"/>
      </w:pPr>
      <w:r>
        <w:t xml:space="preserve">ზარი, რომლის დაუყოვნებლივ გაგზავნაც შეუძლებელია, იდგება რიგში თავისი პრიორიტეტით.</w:t>
      </w:r>
    </w:p>
    <w:p>
      <w:pPr>
        <w:numPr>
          <w:ilvl w:val="0"/>
          <w:numId w:val="1001"/>
        </w:numPr>
        <w:pStyle w:val="Compact"/>
      </w:pPr>
      <w:r>
        <w:t xml:space="preserve">რიგი განიხილება კლინიკური სურათის ცვლილებისამებრ.</w:t>
      </w:r>
    </w:p>
    <w:p>
      <w:pPr>
        <w:numPr>
          <w:ilvl w:val="0"/>
          <w:numId w:val="1001"/>
        </w:numPr>
        <w:pStyle w:val="Compact"/>
      </w:pPr>
      <w:r>
        <w:t xml:space="preserve">თუ რიგში მდგომი ზარი დადგენილი დროის გასვლის შემდეგაც ელოდება, ის გადადის დასახელებულ დეჟურ მენეჯერთან.</w:t>
      </w:r>
    </w:p>
    <w:p>
      <w:pPr>
        <w:numPr>
          <w:ilvl w:val="0"/>
          <w:numId w:val="1001"/>
        </w:numPr>
        <w:pStyle w:val="Compact"/>
      </w:pPr>
      <w:r>
        <w:t xml:space="preserve">ყოველი გადაცემა იწერება.</w:t>
      </w:r>
    </w:p>
    <w:p>
      <w:pPr>
        <w:numPr>
          <w:ilvl w:val="0"/>
          <w:numId w:val="1001"/>
        </w:numPr>
        <w:pStyle w:val="Compact"/>
      </w:pPr>
      <w:r>
        <w:t xml:space="preserve">დაუყოვნებლივ შეაჩერეთ და მიიღეთ დახმარება, თუ: რიგში მდგომი ზარი დადგენილ დროს გასცდა დეჟურ მენეჯერთან გადაცემის გარეშე.</w:t>
      </w:r>
    </w:p>
    <w:bookmarkStart w:id="24" w:name="მიზანი"/>
    <w:p>
      <w:pPr>
        <w:pStyle w:val="Heading2"/>
      </w:pPr>
      <w:r>
        <w:t xml:space="preserve">1. მიზანი</w:t>
      </w:r>
    </w:p>
    <w:p>
      <w:pPr>
        <w:pStyle w:val="FirstParagraph"/>
      </w:pPr>
      <w:r>
        <w:t xml:space="preserve">იმისთვის, რომ მოლოდინში მყოფი ზარი ვერავის შეუმჩნევლად არ გაუარესდეს (7.8).</w:t>
      </w:r>
    </w:p>
    <w:bookmarkEnd w:id="24"/>
    <w:bookmarkStart w:id="25" w:name="მოქმედების-სფერო"/>
    <w:p>
      <w:pPr>
        <w:pStyle w:val="Heading2"/>
      </w:pPr>
      <w:r>
        <w:t xml:space="preserve">2. მოქმედების სფერო</w:t>
      </w:r>
    </w:p>
    <w:tbl>
      <w:tblPr>
        <w:tblStyle w:val="Table"/>
        <w:tblW w:type="auto" w:w="0"/>
        <w:tblLook w:firstRow="0" w:lastRow="0" w:firstColumn="0" w:lastColumn="0" w:noHBand="0" w:noVBand="0" w:val="0000"/>
        <w:jc w:val="start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ვრცელდება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საავადმყოფოს კლინიკური და დამხმარე პერსონალი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ადგილები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დაწესებულების ყველა პალატა, კლინიკა და განყოფილება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როდის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ყოველთვის, როცა აღწერილი საქმიანობა სრულდება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არ ვრცელდება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საქმიანობა, რომელიც მოცემულია სხვა დოკუმენტში, ჩამოთვლილში მე-15 განყოფილებაში</w:t>
            </w:r>
          </w:p>
        </w:tc>
      </w:tr>
    </w:tbl>
    <w:bookmarkEnd w:id="25"/>
    <w:bookmarkStart w:id="26" w:name="განმარტებები"/>
    <w:p>
      <w:pPr>
        <w:pStyle w:val="Heading2"/>
      </w:pPr>
      <w:r>
        <w:t xml:space="preserve">3. განმარტებები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ტერმინი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მნიშვნელობა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კლინიკური ხელმძღვანელი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ექიმი ან ექთანი, რომელიც იმ დროს პასუხობს ამ მიმართულებაზე</w:t>
            </w:r>
          </w:p>
        </w:tc>
      </w:tr>
    </w:tbl>
    <w:bookmarkEnd w:id="26"/>
    <w:bookmarkStart w:id="27" w:name="ფონი"/>
    <w:p>
      <w:pPr>
        <w:pStyle w:val="Heading2"/>
      </w:pPr>
      <w:r>
        <w:t xml:space="preserve">4. ფონი</w:t>
      </w:r>
    </w:p>
    <w:p>
      <w:pPr>
        <w:pStyle w:val="FirstParagraph"/>
      </w:pPr>
      <w:r>
        <w:t xml:space="preserve">ზარი, რომლის დაუყოვნებლივ გაგზავნაც შეუძლებელია, მოლოდინის დროს უფრო გადაუდებელი შეიძლება გახდეს. რიგი, რომელიც განიხილება და გადაეცემა, მოლოდინში მყოფ ზარს დავიწყებას არიდებს.</w:t>
      </w:r>
    </w:p>
    <w:bookmarkEnd w:id="27"/>
    <w:bookmarkStart w:id="28" w:name="პასუხისმგებლობები"/>
    <w:p>
      <w:pPr>
        <w:pStyle w:val="Heading2"/>
      </w:pPr>
      <w:r>
        <w:t xml:space="preserve">5. პასუხისმგებლობები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როლი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პასუხისმგებლობა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კომპეტენცია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ცვლის ზედამხედველი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ხედავს რიგს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ზედამხედველი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დეჟურე მენეჯერი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იღებს გადაცემებს და მოქმედებს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მენეჯერი</w:t>
            </w:r>
          </w:p>
        </w:tc>
      </w:tr>
    </w:tbl>
    <w:bookmarkEnd w:id="28"/>
    <w:bookmarkStart w:id="29" w:name="მასალები-და-აღჭურვილობა"/>
    <w:p>
      <w:pPr>
        <w:pStyle w:val="Heading2"/>
      </w:pPr>
      <w:r>
        <w:t xml:space="preserve">6. მასალები და აღჭურვილობა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ერთეული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მოთხოვნა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მდგომარეობა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ამ დოკუმენტში დასახელებული ჩანაწერები და ფორმები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მიმდინარე 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მოწმდება გამოყენებამდე</w:t>
            </w:r>
          </w:p>
        </w:tc>
      </w:tr>
    </w:tbl>
    <w:bookmarkEnd w:id="29"/>
    <w:bookmarkStart w:id="30" w:name="უსაფრთხოება"/>
    <w:p>
      <w:pPr>
        <w:pStyle w:val="Heading2"/>
      </w:pPr>
      <w:r>
        <w:t xml:space="preserve">7. უსაფრთხოება</w:t>
      </w:r>
    </w:p>
    <w:p>
      <w:pPr>
        <w:numPr>
          <w:ilvl w:val="0"/>
          <w:numId w:val="1002"/>
        </w:numPr>
        <w:pStyle w:val="Compact"/>
      </w:pPr>
      <w:r>
        <w:t xml:space="preserve">თუ პაციენტს დაუყოვნებლივი რისკი ემუქრება, შეაჩერეთ და მოუხმეთ დახმარებას. არ გადადოთ გადაუდებელი მკურნალობა დოკუმენტაციის შევსებისთვის.</w:t>
      </w:r>
    </w:p>
    <w:bookmarkEnd w:id="30"/>
    <w:bookmarkStart w:id="31" w:name="დაწყებამდე"/>
    <w:p>
      <w:pPr>
        <w:pStyle w:val="Heading2"/>
      </w:pPr>
      <w:r>
        <w:t xml:space="preserve">8. დაწყებამდე</w:t>
      </w:r>
    </w:p>
    <w:p>
      <w:pPr>
        <w:numPr>
          <w:ilvl w:val="0"/>
          <w:numId w:val="1003"/>
        </w:numPr>
        <w:pStyle w:val="Compact"/>
      </w:pPr>
      <w:r>
        <w:t xml:space="preserve">დაადასტურეთ, რომ ამ დოკუმენტში დასახელებული ფორმები და აღჭურვილობა ხელმისაწვდომია და მიმდინარეა.</w:t>
      </w:r>
    </w:p>
    <w:bookmarkEnd w:id="31"/>
    <w:bookmarkStart w:id="32" w:name="პროცედურა"/>
    <w:p>
      <w:pPr>
        <w:pStyle w:val="Heading2"/>
      </w:pPr>
      <w:r>
        <w:t xml:space="preserve">9. პროცედურა</w:t>
      </w:r>
    </w:p>
    <w:p>
      <w:pPr>
        <w:pStyle w:val="FirstParagraph"/>
      </w:pPr>
      <w:r>
        <w:t xml:space="preserve">ნაბიჯი 1. რიგი.</w:t>
      </w:r>
    </w:p>
    <w:p>
      <w:pPr>
        <w:numPr>
          <w:ilvl w:val="0"/>
          <w:numId w:val="1004"/>
        </w:numPr>
        <w:pStyle w:val="Compact"/>
      </w:pPr>
      <w:r>
        <w:t xml:space="preserve">ზარი ჩადეთ რიგში მისი პრიორიტეტითა და მიღების დროით.</w:t>
      </w:r>
    </w:p>
    <w:p>
      <w:pPr>
        <w:pStyle w:val="FirstParagraph"/>
      </w:pPr>
      <w:r>
        <w:rPr>
          <w:bCs/>
          <w:b/>
        </w:rPr>
        <w:t xml:space="preserve">მთავარი პუნქტი:</w:t>
      </w:r>
      <w:r>
        <w:t xml:space="preserve"> </w:t>
      </w:r>
      <w:r>
        <w:t xml:space="preserve">ყოველ რიგში მდგომ ზარს აქვს დრო.</w:t>
      </w:r>
    </w:p>
    <w:p>
      <w:pPr>
        <w:pStyle w:val="BodyText"/>
      </w:pPr>
      <w:r>
        <w:t xml:space="preserve">ნაბიჯი 2. განხილვა.</w:t>
      </w:r>
    </w:p>
    <w:p>
      <w:pPr>
        <w:numPr>
          <w:ilvl w:val="0"/>
          <w:numId w:val="1005"/>
        </w:numPr>
        <w:pStyle w:val="Compact"/>
      </w:pPr>
      <w:r>
        <w:t xml:space="preserve">რიგი განიხილეთ ყოველ ჯერზე, როცა კლინიკური სურათი იცვლება, და სადაც საჭიროა, ხელახლა გააკეთეთ ტრიაჟი.</w:t>
      </w:r>
    </w:p>
    <w:p>
      <w:pPr>
        <w:pStyle w:val="FirstParagraph"/>
      </w:pPr>
      <w:r>
        <w:rPr>
          <w:bCs/>
          <w:b/>
        </w:rPr>
        <w:t xml:space="preserve">მთავარი პუნქტი:</w:t>
      </w:r>
      <w:r>
        <w:t xml:space="preserve"> </w:t>
      </w:r>
      <w:r>
        <w:t xml:space="preserve">ზარი შეიძლება შეიცვალოს.</w:t>
      </w:r>
    </w:p>
    <w:p>
      <w:pPr>
        <w:pStyle w:val="BodyText"/>
      </w:pPr>
      <w:r>
        <w:t xml:space="preserve">ნაბიჯი 3. გადაცემა.</w:t>
      </w:r>
    </w:p>
    <w:p>
      <w:pPr>
        <w:numPr>
          <w:ilvl w:val="0"/>
          <w:numId w:val="1006"/>
        </w:numPr>
        <w:pStyle w:val="Compact"/>
      </w:pPr>
      <w:r>
        <w:t xml:space="preserve">დადგენილ დროს გადაეცით დეჟურ მენეჯერს და ჩაწერეთ (EDP-REG-004).</w:t>
      </w:r>
    </w:p>
    <w:p>
      <w:pPr>
        <w:pStyle w:val="FirstParagraph"/>
      </w:pPr>
      <w:r>
        <w:rPr>
          <w:bCs/>
          <w:b/>
        </w:rPr>
        <w:t xml:space="preserve">მთავარი პუნქტი:</w:t>
      </w:r>
      <w:r>
        <w:t xml:space="preserve"> </w:t>
      </w:r>
      <w:r>
        <w:t xml:space="preserve">დრო არის სიგნალი.</w:t>
      </w:r>
    </w:p>
    <w:bookmarkEnd w:id="32"/>
    <w:bookmarkStart w:id="33" w:name="გადაწყვეტილების-წერტილები"/>
    <w:p>
      <w:pPr>
        <w:pStyle w:val="Heading2"/>
      </w:pPr>
      <w:r>
        <w:t xml:space="preserve">10. გადაწყვეტილების წერტილები</w:t>
      </w:r>
    </w:p>
    <w:p>
      <w:pPr>
        <w:numPr>
          <w:ilvl w:val="0"/>
          <w:numId w:val="1007"/>
        </w:numPr>
        <w:pStyle w:val="Compact"/>
      </w:pPr>
      <w:r>
        <w:t xml:space="preserve">ამ პროცედურაში გადაწყვეტილების წერტილები არ არის.</w:t>
      </w:r>
    </w:p>
    <w:bookmarkEnd w:id="33"/>
    <w:bookmarkStart w:id="34" w:name="განსაკუთრებული-სიტუაციები"/>
    <w:p>
      <w:pPr>
        <w:pStyle w:val="Heading2"/>
      </w:pPr>
      <w:r>
        <w:t xml:space="preserve">11. განსაკუთრებული სიტუაციები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სიტუაცია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მოქმედება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სამუშაო საათების გარეთ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მიჰყევით იგივე ნაბიჯებს. გამოიყენეთ დეჟურის საკონტაქტო ინფორმაცია ამ მიმართულების კედელზე.</w:t>
            </w:r>
          </w:p>
        </w:tc>
      </w:tr>
    </w:tbl>
    <w:bookmarkEnd w:id="34"/>
    <w:bookmarkStart w:id="35" w:name="ესკალაცია"/>
    <w:p>
      <w:pPr>
        <w:pStyle w:val="Heading2"/>
      </w:pPr>
      <w:r>
        <w:t xml:space="preserve">12. ესკალაცია</w:t>
      </w:r>
    </w:p>
    <w:p>
      <w:pPr>
        <w:numPr>
          <w:ilvl w:val="0"/>
          <w:numId w:val="1008"/>
        </w:numPr>
        <w:pStyle w:val="Compact"/>
      </w:pPr>
      <w:r>
        <w:t xml:space="preserve">ყოველი სერიოზული პრობლემა დაუყოვნებლივ გადაეცემა დეჟურ კლინიკურ ხელმძღვანელს, იმავე დღეს კი — კლინიკურ დირექტორს.</w:t>
      </w:r>
    </w:p>
    <w:bookmarkEnd w:id="35"/>
    <w:bookmarkStart w:id="36" w:name="მონიტორინგი"/>
    <w:p>
      <w:pPr>
        <w:pStyle w:val="Heading2"/>
      </w:pPr>
      <w:r>
        <w:t xml:space="preserve">13. მონიტორინგი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ზომა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სამიზნე მაჩვენებელი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სიხშირე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პასუხისმგებელი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თუ არ შესრულდა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რიგში მდგომი ზარები ხელახლა განხილული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100%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ყოველთვიურად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ოპერაციების მენეჯერი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გადაეცით აღმასრულებელ დირექტორს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დადგენილ დროს გადაცემები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100%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ყოველთვიურად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ოპერაციების მენეჯერი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გადაეცით აღმასრულებელ დირექტორს</w:t>
            </w:r>
          </w:p>
        </w:tc>
      </w:tr>
    </w:tbl>
    <w:bookmarkEnd w:id="36"/>
    <w:bookmarkStart w:id="37" w:name="ჩანაწერები"/>
    <w:p>
      <w:pPr>
        <w:pStyle w:val="Heading2"/>
      </w:pPr>
      <w:r>
        <w:t xml:space="preserve">14. ჩანაწერები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ჩანაწერი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ინახება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შენახვის ვადა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ამ დოკუმენტში დასახელებული ჩანაწერი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პაციენტის ჩანაწერი ან მიმართულების ფაილი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დაწესებულების ჩანაწერების პოლიტიკით დადგენილი პერიოდი, წლები</w:t>
            </w:r>
          </w:p>
        </w:tc>
      </w:tr>
    </w:tbl>
    <w:bookmarkEnd w:id="37"/>
    <w:bookmarkStart w:id="38" w:name="სწავლება"/>
    <w:p>
      <w:pPr>
        <w:pStyle w:val="Heading2"/>
      </w:pPr>
      <w:r>
        <w:t xml:space="preserve">15. სწავლება</w:t>
      </w:r>
    </w:p>
    <w:p>
      <w:pPr>
        <w:numPr>
          <w:ilvl w:val="0"/>
          <w:numId w:val="1009"/>
        </w:numPr>
        <w:pStyle w:val="Compact"/>
      </w:pPr>
      <w:r>
        <w:t xml:space="preserve">პერსონალი ამ დოკუმენტში გადამზადდება ჩართვისას და ყოველწლიურად განახლდება ჩაწერილი კომპეტენციის შემოწმებით.</w:t>
      </w:r>
    </w:p>
    <w:bookmarkEnd w:id="38"/>
    <w:bookmarkStart w:id="40" w:name="დაკავშირებული-დოკუმენტები"/>
    <w:p>
      <w:pPr>
        <w:pStyle w:val="Heading2"/>
      </w:pPr>
      <w:r>
        <w:t xml:space="preserve">16. დაკავშირებული დოკუმენტები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სათაური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გამოყენება</w:t>
            </w:r>
          </w:p>
        </w:tc>
      </w:tr>
      <w:tr>
        <w:tc>
          <w:tcPr/>
          <w:p>
            <w:pPr>
              <w:pStyle w:val="Compact"/>
              <w:jc w:val="left"/>
            </w:pPr>
            <w:hyperlink r:id="rId39">
              <w:r>
                <w:rPr>
                  <w:rStyle w:val="Hyperlink"/>
                </w:rPr>
                <w:t xml:space="preserve">EDP-REG-004</w:t>
              </w:r>
            </w:hyperlink>
          </w:p>
        </w:tc>
        <w:tc>
          <w:tcPr/>
          <w:p>
            <w:pPr>
              <w:pStyle w:val="Compact"/>
              <w:jc w:val="left"/>
            </w:pPr>
            <w:r>
              <w:t xml:space="preserve">რიგისა და გადაცემის რეგისტრი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რეგისტრი</w:t>
            </w:r>
          </w:p>
        </w:tc>
      </w:tr>
    </w:tbl>
    <w:bookmarkEnd w:id="40"/>
    <w:bookmarkStart w:id="41" w:name="მტკიცებულებები"/>
    <w:p>
      <w:pPr>
        <w:pStyle w:val="Heading2"/>
      </w:pPr>
      <w:r>
        <w:t xml:space="preserve">17. მტკიცებულებები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წყარო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შენიშვნა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ექსპერტთა კომიტეტის კონსენსუსი.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Policy Framework v1.2. ადაპტირებული.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ექსპერტთა კომიტეტის კონსენსუსი.</w:t>
            </w:r>
          </w:p>
        </w:tc>
      </w:tr>
    </w:tbl>
    <w:bookmarkEnd w:id="41"/>
    <w:bookmarkStart w:id="42" w:name="ცვლილებების-ისტორია"/>
    <w:p>
      <w:pPr>
        <w:pStyle w:val="Heading2"/>
      </w:pPr>
      <w:r>
        <w:t xml:space="preserve">18. ცვლილებების ისტორია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რა შეიცვალა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დამტკიცება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1.0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პირველი 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ექსპერტთა კომიტეტის დამტკიცება</w:t>
            </w:r>
          </w:p>
        </w:tc>
      </w:tr>
    </w:tbl>
    <w:bookmarkEnd w:id="42"/>
    <w:bookmarkStart w:id="43" w:name="ამ-დოკუმენტის-ელექტრონული-სწავლება"/>
    <w:p>
      <w:pPr>
        <w:pStyle w:val="Heading2"/>
      </w:pPr>
      <w:r>
        <w:t xml:space="preserve">ამ დოკუმენტის ელექტრონული სწავლება</w:t>
      </w:r>
    </w:p>
    <w:p>
      <w:pPr>
        <w:numPr>
          <w:ilvl w:val="0"/>
          <w:numId w:val="1010"/>
        </w:numPr>
        <w:pStyle w:val="Compact"/>
      </w:pPr>
      <w:r>
        <w:t xml:space="preserve">Emergency Response During Transport</w:t>
      </w:r>
      <w:r>
        <w:t xml:space="preserve"> </w:t>
      </w:r>
      <w:r>
        <w:t xml:space="preserve">(MT-06)</w:t>
      </w:r>
    </w:p>
    <w:bookmarkEnd w:id="43"/>
    <w:bookmarkStart w:id="44" w:name="წყაროები"/>
    <w:p>
      <w:pPr>
        <w:pStyle w:val="Heading2"/>
      </w:pPr>
      <w:r>
        <w:t xml:space="preserve">წყაროები</w:t>
      </w:r>
    </w:p>
    <w:p>
      <w:pPr>
        <w:numPr>
          <w:ilvl w:val="0"/>
          <w:numId w:val="1011"/>
        </w:numPr>
        <w:pStyle w:val="Compact"/>
      </w:pPr>
      <w:r>
        <w:t xml:space="preserve">Accréditation Sans Frontières (2026). ASF Policy Framework v1.2.</w:t>
      </w:r>
      <w:r>
        <w:t xml:space="preserve"> </w:t>
      </w:r>
      <w:r>
        <w:t xml:space="preserve">(E-006)</w:t>
      </w:r>
    </w:p>
    <w:p>
      <w:pPr>
        <w:numPr>
          <w:ilvl w:val="0"/>
          <w:numId w:val="1011"/>
        </w:numPr>
        <w:pStyle w:val="Compact"/>
      </w:pPr>
      <w:r>
        <w:t xml:space="preserve">Accréditation Sans Frontières (2026). ASF Expert Committee consensus on Standard 1.</w:t>
      </w:r>
      <w:r>
        <w:t xml:space="preserve"> </w:t>
      </w:r>
      <w:r>
        <w:t xml:space="preserve">(E-009)</w:t>
      </w:r>
    </w:p>
    <w:bookmarkEnd w:id="44"/>
    <w:bookmarkEnd w:id="4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ka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39" Target="/documents/edp-reg-004/" TargetMode="External" /><Relationship Type="http://schemas.openxmlformats.org/officeDocument/2006/relationships/hyperlink" Id="rId22" Target="/ka/resources/sops/" TargetMode="External" /><Relationship Type="http://schemas.openxmlformats.org/officeDocument/2006/relationships/hyperlink" Id="rId20" Target="/ka/standards/" TargetMode="External" /><Relationship Type="http://schemas.openxmlformats.org/officeDocument/2006/relationships/hyperlink" Id="rId21" Target="/ka/standards/standard-7/" TargetMode="External" /><Relationship Type="http://schemas.openxmlformats.org/officeDocument/2006/relationships/hyperlink" Id="rId23" Target="/ka/standards/standard-7/#c7-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9" Target="/documents/edp-reg-004/" TargetMode="External" /><Relationship Type="http://schemas.openxmlformats.org/officeDocument/2006/relationships/hyperlink" Id="rId22" Target="/ka/resources/sops/" TargetMode="External" /><Relationship Type="http://schemas.openxmlformats.org/officeDocument/2006/relationships/hyperlink" Id="rId20" Target="/ka/standards/" TargetMode="External" /><Relationship Type="http://schemas.openxmlformats.org/officeDocument/2006/relationships/hyperlink" Id="rId21" Target="/ka/standards/standard-7/" TargetMode="External" /><Relationship Type="http://schemas.openxmlformats.org/officeDocument/2006/relationships/hyperlink" Id="rId23" Target="/ka/standards/standard-7/#c7-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EDP-SOP-004: რიგში მდგომი ზარები და გადაცემა დეჟურ მენეჯერთან</dc:title>
  <dc:creator/>
  <dc:language>ka</dc:language>
  <cp:keywords/>
  <dcterms:created xsi:type="dcterms:W3CDTF">2026-11-07T01:16:05Z</dcterms:created>
  <dcterms:modified xsi:type="dcterms:W3CDTF">2026-11-07T01:16:05Z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