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2C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ENV-SOP-005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2C.3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კვარტალში მმართველობას წარუდგინეთ ყოველი მდგრადობის მიზნის პროგრესის ანგარიში.</w:t>
      </w:r>
    </w:p>
    <w:p>
      <w:pPr>
        <w:numPr>
          <w:ilvl w:val="0"/>
          <w:numId w:val="1001"/>
        </w:numPr>
        <w:pStyle w:val="Compact"/>
      </w:pPr>
      <w:r>
        <w:t xml:space="preserve">ანგარიშისთვის გამოიყენეთ ENV-FRM-003.</w:t>
      </w:r>
    </w:p>
    <w:p>
      <w:pPr>
        <w:numPr>
          <w:ilvl w:val="0"/>
          <w:numId w:val="1001"/>
        </w:numPr>
        <w:pStyle w:val="Compact"/>
      </w:pPr>
      <w:r>
        <w:t xml:space="preserve">მმართველობამ უნდა განიხილოს ანგარიში და აღრიცხოს გადაწყვეტილება.</w:t>
      </w:r>
    </w:p>
    <w:p>
      <w:pPr>
        <w:numPr>
          <w:ilvl w:val="0"/>
          <w:numId w:val="1001"/>
        </w:numPr>
        <w:pStyle w:val="Compact"/>
      </w:pPr>
      <w:r>
        <w:t xml:space="preserve">შეინახეთ ბოლო ოთხი კვარტალური ანგარიში.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კვარტალი გავიდა ანგარიშის გარეშე, ან ანგარიში მიღებულია განხილვის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მდგრადობის მიზნებთან პროგრესი დანახული, განხილული და მმართველი ორგანოს მიერ დადგენილი გრაფიკით რეაგირებული იყოს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მენეჯერი, მმართველი ორგანოს მდივანი, აღმასრულებელი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შეხვედრები ობიექტში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ხარისხის ანგარიშგება, რომელიც მიჰყვება ხარისხის გეგმას (GOV-PLN-002)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მმართველობა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საბჭო ან მმართველი ორგანო, რომელიც ადგენს ინსტიტუციურ პრიორიტეტებს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გადაწყვეტილების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ოქმი, რომელიც აჩვენებს, რა გადაწყვიტა მმართველობამ ანგარიშის საფუძველზე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მიზნები, რომლებსაც მმართველობა არასდროს ხედავს, მარტივად იკარგება. კრიტერიუმი 2C.3 მოითხოვს რეგულარულ ანგარიშს, რეალურ განხილვას და აღრიცხულ გადაწყვეტილებას.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კვარტალში ამზადებს ანგარიშს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მართვა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წარუდგენს ანგარიშს და ავითარებს გადაწყვეტილებებს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მდივანი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აღრიცხავს განხილვას ოქმში (GOV-FRM-003)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ადმინისტრაცია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კვარტალური პროგრესის ანგარიში (ENV-FRM-003)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მზადაა შეხვედრამდე 5 სამუშაო დღით ადრე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ანგარიშის ციფრები უნდა იყოს ზუსტი. მონაცემების გარეშე მიზანი არ უნდა წარმოადგინოთ მიღწეულად.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შეაგროვეთ კვარტლის მონაცემები ENV-FRM-008-დან და სხვა ჩანაწერებიდან.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ანგარიშის მომზადება.</w:t>
      </w:r>
    </w:p>
    <w:p>
      <w:pPr>
        <w:numPr>
          <w:ilvl w:val="0"/>
          <w:numId w:val="1004"/>
        </w:numPr>
        <w:pStyle w:val="Compact"/>
      </w:pPr>
      <w:r>
        <w:t xml:space="preserve">შეავსეთ ENV-FRM-003 ყოველი მიზნისთვის: საწყისი მაჩვენებელი, სამიზნე, მიმდინარე მნიშვნელობა, ტენდენცია და ქმედებები.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ციფრები წყაროს ჩანაწერებთან.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მმართველობა წყვეტს იმაზე, რაც მას ეჩვენება. სიზუსტე მნიშვნელოვანია.</w:t>
      </w:r>
    </w:p>
    <w:p>
      <w:pPr>
        <w:pStyle w:val="BodyText"/>
      </w:pPr>
      <w:r>
        <w:t xml:space="preserve">ნაბიჯი 2. მმართველობისთვის წარდგენა.</w:t>
      </w:r>
    </w:p>
    <w:p>
      <w:pPr>
        <w:numPr>
          <w:ilvl w:val="0"/>
          <w:numId w:val="1005"/>
        </w:numPr>
        <w:pStyle w:val="Compact"/>
      </w:pPr>
      <w:r>
        <w:t xml:space="preserve">წარადგინეთ ანგარიში მმართველობის მომდევნო შეხვედრაზე.</w:t>
      </w:r>
    </w:p>
    <w:p>
      <w:pPr>
        <w:numPr>
          <w:ilvl w:val="0"/>
          <w:numId w:val="1005"/>
        </w:numPr>
        <w:pStyle w:val="Compact"/>
      </w:pPr>
      <w:r>
        <w:t xml:space="preserve">სთხოვეთ მმართველობას პროგრესის განხილვა და იმის თქმა, უნდა შეიცვალოს თუ არა მიზნები.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მმართველობისადმი კითხვა უნდა იყოს გადაწყვეტილება და არა „ინფორმაციისთვის“.</w:t>
      </w:r>
    </w:p>
    <w:p>
      <w:pPr>
        <w:pStyle w:val="BodyText"/>
      </w:pPr>
      <w:r>
        <w:t xml:space="preserve">ნაბიჯი 3. გადაწყვეტილების აღრიცხვა.</w:t>
      </w:r>
    </w:p>
    <w:p>
      <w:pPr>
        <w:numPr>
          <w:ilvl w:val="0"/>
          <w:numId w:val="1006"/>
        </w:numPr>
        <w:pStyle w:val="Compact"/>
      </w:pPr>
      <w:r>
        <w:t xml:space="preserve">მდივანი აღრიცხავს განხილვას და ნებისმიერ გადაწყვეტილებას ოქმში (GOV-FRM-003).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ქმედებები და პასუხისმგებელი პირები.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ოქმი არის მტკიცებულება იმისა, რომ მმართველობამ იმოქმედა.</w:t>
      </w:r>
    </w:p>
    <w:p>
      <w:pPr>
        <w:pStyle w:val="BodyText"/>
      </w:pPr>
      <w:r>
        <w:t xml:space="preserve">ნაბიჯი 4. თვალყურის დევნება.</w:t>
      </w:r>
    </w:p>
    <w:p>
      <w:pPr>
        <w:numPr>
          <w:ilvl w:val="0"/>
          <w:numId w:val="1007"/>
        </w:numPr>
        <w:pStyle w:val="Compact"/>
      </w:pPr>
      <w:r>
        <w:t xml:space="preserve">თვალყური ადევნეთ მმართველობის ყოველ ქმედებას დახურვამდე პროგრამაში.</w:t>
      </w:r>
    </w:p>
    <w:p>
      <w:pPr>
        <w:numPr>
          <w:ilvl w:val="0"/>
          <w:numId w:val="1007"/>
        </w:numPr>
        <w:pStyle w:val="Compact"/>
      </w:pPr>
      <w:r>
        <w:t xml:space="preserve">შემდეგ კვარტალში აცნობეთ გადაწყვეტილებების სტატუსი.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თვალყურის დევნება წრეს ხურავს.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მიზანი ორი კვარტალი გზიდან გადავიდა, მმართველობა წყვეტს, შეიცვალოს თუ არა ქმედება, სამიზნე ან რესურსები.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მმართველობის შეხვედრა გამოტოვებულია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გამოგზავნეთ ანგარიში წერილობით და სთხოვეთ, განიხილონ შემდეგ შეხვედრაზე.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თუ მიზანი მნიშვნელოვნად გზიდან გადავიდა, აღმასრულებელი დირექტორი შეხვედრებს შორის აცნობებს მმართველობას.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კვარტალური ანგარიშები დროულად გაგზავნილია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ანგარიშები ოქმში აღრიცხული განხილვით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მდივანი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შეახსენეთ მმართველობას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ბოლო ოთხი კვარტალი ჩანაწერში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შესწორება 30 დღეში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ENV-FRM-003 კვარტალური პროგრესის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GOV-FRM-003 ოქმი (ამონაწერი)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10"/>
        </w:numPr>
        <w:pStyle w:val="Compact"/>
      </w:pPr>
      <w:r>
        <w:t xml:space="preserve">მმართველი ორგანოს წევრები ინფორმირებულები არიან ანგარიშებზე დანიშვნისას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ENV-FRM-003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მდგრადობის პროგრესის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ოქმის შაბლონი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3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GOV-PLN-002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ხარისხის გაუმჯობესების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დაკავშირებული ანგარიშგება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კვარტლის გრაფიკს ადგენს ASF ექსპერტთა კომიტეტი მმართველობასთან ერთად.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განხილვა: გასწორებულია ჯვარედინი მითითებები, სტატუსის ფორმულირება და დოკუმენტის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p>
      <w:pPr>
        <w:pStyle w:val="BodyText"/>
      </w:pPr>
      <w:r>
        <w:rPr>
          <w:bCs/>
          <w:b/>
        </w:rPr>
        <w:t xml:space="preserve">დაგეგმილი კურსი:</w:t>
      </w:r>
      <w:r>
        <w:t xml:space="preserve"> </w:t>
      </w:r>
      <w:r>
        <w:t xml:space="preserve">მდგრადობის პროგრესის ანგარიშგება მმართველი ორგანოსთვის. ახალი კურსი დაგეგმილია.</w:t>
      </w:r>
    </w:p>
    <w:bookmarkEnd w:id="45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7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p>
      <w:pPr>
        <w:pStyle w:val="FirstParagraph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env-frm-003/" TargetMode="External" /><Relationship Type="http://schemas.openxmlformats.org/officeDocument/2006/relationships/hyperlink" Id="rId40" Target="/ka/documents/gov-frm-003/" TargetMode="External" /><Relationship Type="http://schemas.openxmlformats.org/officeDocument/2006/relationships/hyperlink" Id="rId41" Target="/ka/documents/gov-pln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3" TargetMode="External" /><Relationship Type="http://schemas.openxmlformats.org/officeDocument/2006/relationships/hyperlink" Id="rId47" Target="https://france-asf.fr/ka/standards/standard-2a/" TargetMode="External" /><Relationship Type="http://schemas.openxmlformats.org/officeDocument/2006/relationships/hyperlink" Id="rId48" Target="https://france-asf.fr/wp-content/uploads/2026/10/env-sop-005-form-1.docx" TargetMode="External" /><Relationship Type="http://schemas.openxmlformats.org/officeDocument/2006/relationships/hyperlink" Id="rId46" Target="https://france-asf.fr/wp-content/uploads/2026/10/env-sop-005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env-frm-003/" TargetMode="External" /><Relationship Type="http://schemas.openxmlformats.org/officeDocument/2006/relationships/hyperlink" Id="rId40" Target="/ka/documents/gov-frm-003/" TargetMode="External" /><Relationship Type="http://schemas.openxmlformats.org/officeDocument/2006/relationships/hyperlink" Id="rId41" Target="/ka/documents/gov-pln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c/" TargetMode="External" /><Relationship Type="http://schemas.openxmlformats.org/officeDocument/2006/relationships/hyperlink" Id="rId23" Target="/ka/standards/standard-2c/#c2c-3" TargetMode="External" /><Relationship Type="http://schemas.openxmlformats.org/officeDocument/2006/relationships/hyperlink" Id="rId47" Target="https://france-asf.fr/ka/standards/standard-2a/" TargetMode="External" /><Relationship Type="http://schemas.openxmlformats.org/officeDocument/2006/relationships/hyperlink" Id="rId48" Target="https://france-asf.fr/wp-content/uploads/2026/10/env-sop-005-form-1.docx" TargetMode="External" /><Relationship Type="http://schemas.openxmlformats.org/officeDocument/2006/relationships/hyperlink" Id="rId46" Target="https://france-asf.fr/wp-content/uploads/2026/10/env-sop-005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2026-11-07T01:48:32Z</dcterms:created>
  <dcterms:modified xsi:type="dcterms:W3CDTF">2026-11-07T01:48:32Z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