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2C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ENV-SOP-006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2C.5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ენერგომეტრი (ელექტროენერგია, გაზი, საწვავი) თვეში ერთხელ წაიკითხეთ და აღრიცხეთ წყაროს მიხედვით.</w:t>
      </w:r>
    </w:p>
    <w:p>
      <w:pPr>
        <w:numPr>
          <w:ilvl w:val="0"/>
          <w:numId w:val="1001"/>
        </w:numPr>
        <w:pStyle w:val="Compact"/>
      </w:pPr>
      <w:r>
        <w:t xml:space="preserve">შეადარეთ იმავე თვეს წინა წელს და სამიზნეს.</w:t>
      </w:r>
    </w:p>
    <w:p>
      <w:pPr>
        <w:numPr>
          <w:ilvl w:val="0"/>
          <w:numId w:val="1001"/>
        </w:numPr>
        <w:pStyle w:val="Compact"/>
      </w:pPr>
      <w:r>
        <w:t xml:space="preserve">ჯერ იმოქმედეთ ყველაზე დიდ მომხმარებლებზე.</w:t>
      </w:r>
    </w:p>
    <w:p>
      <w:pPr>
        <w:numPr>
          <w:ilvl w:val="0"/>
          <w:numId w:val="1001"/>
        </w:numPr>
        <w:pStyle w:val="Compact"/>
      </w:pPr>
      <w:r>
        <w:t xml:space="preserve">ყოველ წელს შეისწავლეთ განახლებადი ვარიანტი და აღრიცხეთ განხორციელებადობა.</w:t>
      </w:r>
    </w:p>
    <w:p>
      <w:pPr>
        <w:numPr>
          <w:ilvl w:val="0"/>
          <w:numId w:val="1001"/>
        </w:numPr>
        <w:pStyle w:val="Compact"/>
      </w:pPr>
      <w:r>
        <w:t xml:space="preserve">არასდროს შეამციროთ ვენტილაცია, გაგრილება ან გათბობა, რომელიც პაციენტებს იცავს.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მეტრი თვის განმავლობაში არ არის წაკითხული, ან უსაფრთხოების სისტემა ენერგიის დაზოგვისთვის გამორთულია.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ობიექტის ენერგიის მოხმარება წყაროს მიხედვით მონიტორინგდეს და ის საწვავისგან დამოკიდებულებიდან პრაქტიკულად შესაძლებელი, კონკრეტული და უსაფრთხო ნაბიჯებით გადავიდეს [E-006, 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გუნდი, ენერგეტიკის ხელმძღვანელი, აღმასრულებელი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მეტრი და ენერგეტიკული სისტემა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თვიური წაკითხვა; კვარტალური განხილვა; ყოველწლიური განხორციელებადობის განხილვა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ნახშირბადის კვალის მეთოდი, დაფარულია ENV-SOP-007-ით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ენერგიის 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ელექტროენერგია, ბუნებრივი გაზი, დიზელი ან სხვა გამოყენებული საწვავი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განახლებადი ვარიანტი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მზის ენერგია ან განახლებადი ელექტროენერგიის მიწოდების ხელშეკრულება, სადაც ხელმისაწვდომია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ობიექტი, რომელიც ენერგიას არ ზომავს, მის შემცირებას ვერ შეძლებს. კრიტერიუმი 2C.5 მოითხოვს წყაროს მიხედვით მონიტორინგს და საწვავის გამოყენების შემცირებისკენ კონკრეტულ ნაბიჯებს, სადაც ეს პრაქტიკულია.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მეტრებს და თვიურ ჩანაწერს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ინჟინერია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ენერგეტიკის ხელმძღვანელი (სახელდებული ობიექტის მენეჯერის მიერ)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შემცირების გეგმას და განხორციელებადობის განხილვას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ენერგიის მართვა (EC)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ამტკიცებს გეგმას და ნებისმიერ ინვესტიციას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ელექტროენერგიის, გაზისა და საწვავის მეტრები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მუშა და არეების მიხედვით მონიშნული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იკითხება თვიურად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თვიური ენერგიის ჩანაწერი (ENV-FRM-008)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ივსება თვიურად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შემცირების გეგმა (ENV-PLN-003)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 განიხილება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არ გამორთოთ და არ შეამციროთ ვენტილაცია, ჰაერის ფილტრაცია, სტერილიზაცია, სამედიცინო აირები, გაციება ან სიცოცხლის შემანარჩუნებელი სისტემები ენერგიის დასაზოგად.</w:t>
      </w:r>
    </w:p>
    <w:p>
      <w:pPr>
        <w:numPr>
          <w:ilvl w:val="0"/>
          <w:numId w:val="1002"/>
        </w:numPr>
        <w:pStyle w:val="Compact"/>
      </w:pPr>
      <w:r>
        <w:t xml:space="preserve">ელექტრო ან გაზის სისტემებზე ცვლილებებს აკეთებს მხოლოდ კვალიფიცირებული პერსონალი.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შეამოწმეთ, რომ მეტრები იკითხება და მონიშნულია.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მეტრების წაკითხვა.</w:t>
      </w:r>
    </w:p>
    <w:p>
      <w:pPr>
        <w:numPr>
          <w:ilvl w:val="0"/>
          <w:numId w:val="1004"/>
        </w:numPr>
        <w:pStyle w:val="Compact"/>
      </w:pPr>
      <w:r>
        <w:t xml:space="preserve">ყოველი თვის ერთსა და იმავე დღეს წაიკითხეთ ყოველი მეტრი.</w:t>
      </w:r>
    </w:p>
    <w:p>
      <w:pPr>
        <w:numPr>
          <w:ilvl w:val="0"/>
          <w:numId w:val="1004"/>
        </w:numPr>
        <w:pStyle w:val="Compact"/>
      </w:pPr>
      <w:r>
        <w:t xml:space="preserve">აღრიცხეთ მაჩვენებელი წყაროსა და არის მიხედვით ENV-FRM-008-ზე.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ერთგვაროვანი წაკითხვის დღე ტენდენციას სანდოს ხდის.</w:t>
      </w:r>
    </w:p>
    <w:p>
      <w:pPr>
        <w:pStyle w:val="BodyText"/>
      </w:pPr>
      <w:r>
        <w:t xml:space="preserve">ნაბიჯი 2. შედარება და ანალიზი.</w:t>
      </w:r>
    </w:p>
    <w:p>
      <w:pPr>
        <w:numPr>
          <w:ilvl w:val="0"/>
          <w:numId w:val="1005"/>
        </w:numPr>
        <w:pStyle w:val="Compact"/>
      </w:pPr>
      <w:r>
        <w:t xml:space="preserve">შეადარეთ ყოველი თვე იმავე თვეს წინა წელს და სამიზნეს.</w:t>
      </w:r>
    </w:p>
    <w:p>
      <w:pPr>
        <w:numPr>
          <w:ilvl w:val="0"/>
          <w:numId w:val="1005"/>
        </w:numPr>
        <w:pStyle w:val="Compact"/>
      </w:pPr>
      <w:r>
        <w:t xml:space="preserve">გამოავლინეთ პირველი სამი მომხმარებელი ან არე.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ჯერ ეძებეთ ყველაზე დიდ მომხმარებლებს.</w:t>
      </w:r>
    </w:p>
    <w:p>
      <w:pPr>
        <w:pStyle w:val="BodyText"/>
      </w:pPr>
      <w:r>
        <w:t xml:space="preserve">ნაბიჯი 3. ქმედება ყველაზე დიდ წყაროებზე.</w:t>
      </w:r>
    </w:p>
    <w:p>
      <w:pPr>
        <w:numPr>
          <w:ilvl w:val="0"/>
          <w:numId w:val="1006"/>
        </w:numPr>
        <w:pStyle w:val="Compact"/>
      </w:pPr>
      <w:r>
        <w:t xml:space="preserve">კვარტალში შეათანხმეთ მინიმუმ ერთი კონკრეტული ნაბიჯი, მაგალითად განათების კონტროლი, ტაიმერები, იზოლაციის შეკეთება, ან აღჭურვილობის გამორთვა გამოყენების გარეთ, სადაც უსაფრთხოა.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ქმედება და მისი ეფექტი ENV-PLN-003-ზე.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კონკრეტული ნაბიჯები წარმოადგენს გადასვლის მტკიცებულებას.</w:t>
      </w:r>
    </w:p>
    <w:p>
      <w:pPr>
        <w:pStyle w:val="BodyText"/>
      </w:pPr>
      <w:r>
        <w:t xml:space="preserve">ნაბიჯი 4. განახლებადი ვარიანტების ყოველწლიური შეფასება.</w:t>
      </w:r>
    </w:p>
    <w:p>
      <w:pPr>
        <w:numPr>
          <w:ilvl w:val="0"/>
          <w:numId w:val="1007"/>
        </w:numPr>
        <w:pStyle w:val="Compact"/>
      </w:pPr>
      <w:r>
        <w:t xml:space="preserve">ყოველ წელს შეაფასეთ განახლებადი ვარიანტების განხორციელებადობა: ადგილზე მზის ენერგია, განახლებადი ელექტროენერგიის ხელშეკრულება ან სხვა.</w:t>
      </w:r>
    </w:p>
    <w:p>
      <w:pPr>
        <w:numPr>
          <w:ilvl w:val="0"/>
          <w:numId w:val="1007"/>
        </w:numPr>
        <w:pStyle w:val="Compact"/>
      </w:pPr>
      <w:r>
        <w:t xml:space="preserve">აღრიცხეთ შეფასება, ღირებულება და გადაწყვეტილება.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მიზეზით აღრიცხული გადაწყვეტილება არ გაგრძელდეს, ასევე აკმაყოფილებს კრიტერიუმს.</w:t>
      </w:r>
    </w:p>
    <w:p>
      <w:pPr>
        <w:pStyle w:val="BodyText"/>
      </w:pPr>
      <w:r>
        <w:t xml:space="preserve">ნაბიჯი 5. ანგარიში.</w:t>
      </w:r>
    </w:p>
    <w:p>
      <w:pPr>
        <w:numPr>
          <w:ilvl w:val="0"/>
          <w:numId w:val="1008"/>
        </w:numPr>
        <w:pStyle w:val="Compact"/>
      </w:pPr>
      <w:r>
        <w:t xml:space="preserve">კვარტალურ მმართველობით ანგარიშში (ENV-FRM-003) ჩართეთ ენერგიის მოხმარება და ტენდენცია.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ანგარიშგება ენერგიას დღის წესრიგში ინარჩუნებს.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 xml:space="preserve">თუ მოხმარება ორი თვის განმავლობაში ზრდის მიზეზის გარეშე, ენერგეტიკის ხელმძღვანელი 14 დღეში იკვლევს.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დენის შეწყვეტა ან გენერატორის გამოყენება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აღრიცხეთ გენერატორის მიერ გამოყენებული საწვავი როგორც ცალკე წყარო.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0"/>
        </w:numPr>
        <w:pStyle w:val="Compact"/>
      </w:pPr>
      <w:r>
        <w:t xml:space="preserve">ენერგიის დაზოგვასთან კონფლიქტში მყოფი უსაფრთხოების საკითხები დაუყოვნებლივ გადაეცემა აღმასრულებელ დირექტორს. უპირატესობა უსაფრთხოებას ენიჭება.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თვიური მაჩვენებლები აღრიცხული ყოველი წყაროსთვის (12 თვე)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კონკრეტული შემცირების ნაბიჯი ყოველ კვარტალში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ენერგეტიკის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მმართველ ორგანოსთან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განახლებადი ვარიანტი ყოველწლიურად შეფასებული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ENV-FRM-008 თვიური ენერგიის მოხმარების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ENV-PLN-003 ენერგიის შემცირებისა და განახლებადი ვარიანტების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1"/>
        </w:numPr>
        <w:pStyle w:val="Compact"/>
      </w:pPr>
      <w:r>
        <w:t xml:space="preserve">ობიექტის პერსონალი გადამზადებულია მეტრების წაკითხვასა და მონიტორინგში (EC).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ENV-FRM-008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თვიური ენერგიის მოხმარების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ნაბიჯში 1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ENV-PLN-003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ენერგიის შემცირებისა და განახლებადი ვარიანტების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ნაბიჯებში 3 და 4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ENV-FRM-003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მდგრადობის პროგრესის ანგარიში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კვარტალური ანგარიში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ენერგიის სამიზნეები და განახლებადი ვარიანტები EC-ისა და ობიექტის გადაწყვეტილებებია.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განხილვა: გასწორებულია ჯვარედინი მითითებები, სტატუსის ფორმულირება და დოკუმენტის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4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2"/>
        </w:numPr>
        <w:pStyle w:val="Compact"/>
      </w:pPr>
      <w:hyperlink r:id="rId45">
        <w:r>
          <w:rPr>
            <w:rStyle w:val="Hyperlink"/>
          </w:rPr>
          <w:t xml:space="preserve">გარემოს მდგრადობის სტანდარტები ASF აკრედიტაციისთვის</w:t>
        </w:r>
      </w:hyperlink>
      <w:r>
        <w:t xml:space="preserve"> </w:t>
      </w:r>
      <w:r>
        <w:t xml:space="preserve">(ENV-001)</w:t>
      </w:r>
    </w:p>
    <w:bookmarkEnd w:id="46"/>
    <w:bookmarkStart w:id="50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7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14"/>
        </w:numPr>
        <w:pStyle w:val="Compact"/>
      </w:pPr>
      <w:hyperlink r:id="rId48">
        <w:r>
          <w:rPr>
            <w:rStyle w:val="Hyperlink"/>
          </w:rPr>
          <w:t xml:space="preserve">სტანდარტი 2: მმართველობა და უსაფრთხოების კულტურა</w:t>
        </w:r>
      </w:hyperlink>
    </w:p>
    <w:p>
      <w:pPr>
        <w:pStyle w:val="FirstParagraph"/>
      </w:pPr>
      <w:hyperlink r:id="rId49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1" Target="/ka/documents/env-frm-003/" TargetMode="External" /><Relationship Type="http://schemas.openxmlformats.org/officeDocument/2006/relationships/hyperlink" Id="rId39" Target="/ka/documents/env-frm-008/" TargetMode="External" /><Relationship Type="http://schemas.openxmlformats.org/officeDocument/2006/relationships/hyperlink" Id="rId40" Target="/ka/documents/env-pln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c/" TargetMode="External" /><Relationship Type="http://schemas.openxmlformats.org/officeDocument/2006/relationships/hyperlink" Id="rId23" Target="/ka/standards/standard-2c/#c2c-5" TargetMode="External" /><Relationship Type="http://schemas.openxmlformats.org/officeDocument/2006/relationships/hyperlink" Id="rId45" Target="https://academy.gmj.ge/courses/asf-env-001-en/" TargetMode="External" /><Relationship Type="http://schemas.openxmlformats.org/officeDocument/2006/relationships/hyperlink" Id="rId48" Target="https://france-asf.fr/ka/standards/standard-2a/" TargetMode="External" /><Relationship Type="http://schemas.openxmlformats.org/officeDocument/2006/relationships/hyperlink" Id="rId49" Target="https://france-asf.fr/wp-content/uploads/2026/10/env-sop-006-form-1.docx" TargetMode="External" /><Relationship Type="http://schemas.openxmlformats.org/officeDocument/2006/relationships/hyperlink" Id="rId47" Target="https://france-asf.fr/wp-content/uploads/2026/10/env-sop-006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/ka/documents/env-frm-003/" TargetMode="External" /><Relationship Type="http://schemas.openxmlformats.org/officeDocument/2006/relationships/hyperlink" Id="rId39" Target="/ka/documents/env-frm-008/" TargetMode="External" /><Relationship Type="http://schemas.openxmlformats.org/officeDocument/2006/relationships/hyperlink" Id="rId40" Target="/ka/documents/env-pln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c/" TargetMode="External" /><Relationship Type="http://schemas.openxmlformats.org/officeDocument/2006/relationships/hyperlink" Id="rId23" Target="/ka/standards/standard-2c/#c2c-5" TargetMode="External" /><Relationship Type="http://schemas.openxmlformats.org/officeDocument/2006/relationships/hyperlink" Id="rId45" Target="https://academy.gmj.ge/courses/asf-env-001-en/" TargetMode="External" /><Relationship Type="http://schemas.openxmlformats.org/officeDocument/2006/relationships/hyperlink" Id="rId48" Target="https://france-asf.fr/ka/standards/standard-2a/" TargetMode="External" /><Relationship Type="http://schemas.openxmlformats.org/officeDocument/2006/relationships/hyperlink" Id="rId49" Target="https://france-asf.fr/wp-content/uploads/2026/10/env-sop-006-form-1.docx" TargetMode="External" /><Relationship Type="http://schemas.openxmlformats.org/officeDocument/2006/relationships/hyperlink" Id="rId47" Target="https://france-asf.fr/wp-content/uploads/2026/10/env-sop-006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2026-11-07T01:48:19Z</dcterms:created>
  <dcterms:modified xsi:type="dcterms:W3CDTF">2026-11-07T01:48:19Z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