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რეესტრები და ჟურნალები</w:t>
        </w:r>
      </w:hyperlink>
    </w:p>
    <w:p>
      <w:pPr>
        <w:pStyle w:val="BodyText"/>
      </w:pPr>
      <w:r>
        <w:t xml:space="preserve">რეესტრი · EQP-REG-001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2B.4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ყოველი კლინიკური აღჭურვილობის აღრიცხვა, მისი მომსახურების ისტორიითა და ნებისმიერი უწესრიგობით.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დაამატეთ თითოეული აპარატი მისვლისას, მისი სერიული ნომრითა და პასუხისმგებელი პირით.</w:t>
      </w:r>
    </w:p>
    <w:p>
      <w:pPr>
        <w:numPr>
          <w:ilvl w:val="0"/>
          <w:numId w:val="1001"/>
        </w:numPr>
        <w:pStyle w:val="Compact"/>
      </w:pPr>
      <w:r>
        <w:t xml:space="preserve">აღრიცხეთ ყოველი მომსახურება თარიღით, ინჟინრით და შედეგით.</w:t>
      </w:r>
    </w:p>
    <w:p>
      <w:pPr>
        <w:numPr>
          <w:ilvl w:val="0"/>
          <w:numId w:val="1001"/>
        </w:numPr>
        <w:pStyle w:val="Compact"/>
      </w:pPr>
      <w:r>
        <w:t xml:space="preserve">აღრიცხეთ უწესრიგობები და გამოყენებიდან გამოსვლა.</w:t>
      </w:r>
    </w:p>
    <w:bookmarkEnd w:id="25"/>
    <w:bookmarkStart w:id="26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აპარატის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სახელი და მოდელი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სერიული ნომერი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ბოლო მომსახურება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შემდეგი მომსახურება ვადაა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უწესრიგობა ან გამოყვანა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ინჟინერი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განხილვა: გასწორებულია ჯვარედინი მითითებები, სტატუსის ფორმულირება და დოკუმენტის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31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გარემო და საერთო სივრცეები</w:t>
        </w:r>
      </w:hyperlink>
      <w:r>
        <w:t xml:space="preserve"> </w:t>
      </w:r>
      <w:r>
        <w:t xml:space="preserve">(H-03)</w:t>
      </w:r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ელექტრო უსაფრთხოება და მოწყობილობების შემოწმება</w:t>
        </w:r>
      </w:hyperlink>
      <w:r>
        <w:t xml:space="preserve"> </w:t>
      </w:r>
      <w:r>
        <w:t xml:space="preserve">(ELEC-01)</w:t>
      </w:r>
    </w:p>
    <w:bookmarkEnd w:id="31"/>
    <w:bookmarkStart w:id="34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32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4" TargetMode="External" /><Relationship Type="http://schemas.openxmlformats.org/officeDocument/2006/relationships/hyperlink" Id="rId30" Target="https://academy.gmj.ge/courses/asf-elec-01-en/" TargetMode="External" /><Relationship Type="http://schemas.openxmlformats.org/officeDocument/2006/relationships/hyperlink" Id="rId29" Target="https://academy.gmj.ge/courses/asf-h-03-en/" TargetMode="External" /><Relationship Type="http://schemas.openxmlformats.org/officeDocument/2006/relationships/hyperlink" Id="rId33" Target="https://france-asf.fr/wp-content/uploads/2026/10/eqp-reg-001-form-1.docx" TargetMode="External" /><Relationship Type="http://schemas.openxmlformats.org/officeDocument/2006/relationships/hyperlink" Id="rId32" Target="https://france-asf.fr/wp-content/uploads/2026/10/eqp-reg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4" TargetMode="External" /><Relationship Type="http://schemas.openxmlformats.org/officeDocument/2006/relationships/hyperlink" Id="rId30" Target="https://academy.gmj.ge/courses/asf-elec-01-en/" TargetMode="External" /><Relationship Type="http://schemas.openxmlformats.org/officeDocument/2006/relationships/hyperlink" Id="rId29" Target="https://academy.gmj.ge/courses/asf-h-03-en/" TargetMode="External" /><Relationship Type="http://schemas.openxmlformats.org/officeDocument/2006/relationships/hyperlink" Id="rId33" Target="https://france-asf.fr/wp-content/uploads/2026/10/eqp-reg-001-form-1.docx" TargetMode="External" /><Relationship Type="http://schemas.openxmlformats.org/officeDocument/2006/relationships/hyperlink" Id="rId32" Target="https://france-asf.fr/wp-content/uploads/2026/10/eqp-reg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2026-11-07T01:49:30Z</dcterms:created>
  <dcterms:modified xsi:type="dcterms:W3CDTF">2026-11-07T01:49:30Z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