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c260dffb8b5a18d5a05dd54c56fda9d8c0b6a6b"/>
    <w:p>
      <w:pPr>
        <w:pStyle w:val="Heading1"/>
      </w:pPr>
      <w:r>
        <w:t xml:space="preserve">EQP-SOP-001: სამედიცინო აპარატურის მოვლა და მწყობრიდან ამოღება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EQP-SOP-001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ჩამოთვალეთ ინვენტარში არსებული ყოველი კლინიკური მოწყობილობა, მისი ბოლო მომსახურების თარიღითა და შემდეგი ვადით.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მოწყობილობა გრაფიკით მოემსახურეთ და აღნუსხეთ.</w:t>
      </w:r>
    </w:p>
    <w:p>
      <w:pPr>
        <w:numPr>
          <w:ilvl w:val="0"/>
          <w:numId w:val="1001"/>
        </w:numPr>
        <w:pStyle w:val="Compact"/>
      </w:pPr>
      <w:r>
        <w:t xml:space="preserve">როცა მოწყობილობა გაუმართავია, მონიშნეთ "მწყობრიდან გამოსული", მოხსენით და მოახსენეთ.</w:t>
      </w:r>
    </w:p>
    <w:p>
      <w:pPr>
        <w:numPr>
          <w:ilvl w:val="0"/>
          <w:numId w:val="1001"/>
        </w:numPr>
        <w:pStyle w:val="Compact"/>
      </w:pPr>
      <w:r>
        <w:t xml:space="preserve">გაუმართავი მოწყობილობა მწყობრში არ დააბრუნოთ, სანამ არ შეკეთდება და არ შემოწმდება.</w:t>
      </w:r>
    </w:p>
    <w:p>
      <w:pPr>
        <w:numPr>
          <w:ilvl w:val="0"/>
          <w:numId w:val="1001"/>
        </w:numPr>
        <w:pStyle w:val="Compact"/>
      </w:pPr>
      <w:r>
        <w:t xml:space="preserve">გრაფიკი ყოველ კვარტალში განიხილეთ.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გაუმართავი მოწყობილობა პაციენტზე გამოიყენება, ან მოწყობილობის მომსახურების ვადა გასულია და ის მაინც გამოიყენება დამტკიცებული მიზეზის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ყოველი კლინიკური მოწყობილობის უსაფრთხოდ და მუშა მდგომარეობაში შენარჩუნება დაგეგმილი მოვლის პროგრამით, და გაუმართავი აპარატურის მწყობრიდან ამოღება შეკეთებამდე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ინჟინერია, ბიომედიცინის პერსონალი, კლინიკური მომხმარებლები და ობიექტის გუნდი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კლინიკური არეალი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გრაფიკით, ნებისმიერი გაუმართაობისას და აპარატურასთან დაკავშირებული ნებისმიერი შეკეთების ან ინციდენტის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არაკლინიკური აპარატურა, მაგალითად საოფისე აპარატურა, რომელსაც ობიექტის გეგმა ფარავს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მოწყობილობა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მოწყობილობა, რომელიც გამოიყენება პაციენტის მოვლაში, დიაგნოსტიკაში ან მონიტორინგში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დაგეგმილი მოვლა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შემოწმება და მომსახურება დადგენილი გრაფიკით, მწარმოებლის, დამტკიცებული კონტრაქტორის ან გადამზადებული ინჟინრის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მწყობრიდან გამოსვლის ეტიკეტი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გაუმართავ მოწყობილობაზე მიმაგრებული ეტიკეტი, რომელიც გამოყენებას კრძალავს გათავისუფლებამდე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გაუმართავი აპარატურა საავადმყოფოებში პაციენტის ზიანის ერთ-ერთი ყველაზე თავიდან აცილებადი მიზეზია. კრიტერიუმი 2B.4 მოითხოვს გრაფიკს, რომელიც ყველა კლინიკურ აპარატურას მოიცავს, და გაუმართავი აპარატურის მწყობრიდან ამოღებას და არა მის მომსახურებაში დატოვებას შეკეთებამდე.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ბიომედიცინის ან კლინიკური ინჟინერიის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ინვენტარსა და გრაფიკს; ათავისუფლებს შეკეთებულ აპარატურას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ბიომედიცინის ინჟინერია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პალატის ან განყოფილების უფროსი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აპარატურას გამოყენებამდე; დაუყოვნებლივ მოახსენებს გაუმართაობებს; ინახავს მოწყობილობას მწყობრიდან გამოსულს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აპარატურის გამოყენებაში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მომხმარებლები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შეამოწმეთ მოწყობილობა; მოახსენეთ გაუმართაობები; ეტიკეტირებული მოწყობილობა არ გამოიყენოთ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ორიენტაცია და მოწყობილობის ტრენინგი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შესყიდვების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უზრუნველყოფს, რომ ახალ აპარატურასთან იყოს მომსახურების ინფორმაცია და საჭიროების შემთხვევაში მომსახურების კონტრაქტი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შესყიდვები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აპარატურის ინვენტარი (EQP-REG-001)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კლინიკური მოწყობილობა ჩამოთვლილი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მწყობრიდან გამოსვლის ეტიკეტები (EQP-FRM-001)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დაბეჭდილი, მარაგში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ყოველ არეალში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აპარატურა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კალიბრირებული მწარმოებლის მოთხოვნით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მწყობრიდან გამოსვლის ეტიკეტის მქონე მოწყობილობა არასდროს გამოიყენოთ, მაშინაც კი, თუ ის მუშაობს.</w:t>
      </w:r>
    </w:p>
    <w:p>
      <w:pPr>
        <w:numPr>
          <w:ilvl w:val="0"/>
          <w:numId w:val="1002"/>
        </w:numPr>
        <w:pStyle w:val="Compact"/>
      </w:pPr>
      <w:r>
        <w:t xml:space="preserve">ეტიკეტი არასდროს მოხსნათ თავად. მოწყობილობას მხოლოდ უფლებამოსილი ინჟინერი ათავისუფლებს.</w:t>
      </w:r>
    </w:p>
    <w:p>
      <w:pPr>
        <w:numPr>
          <w:ilvl w:val="0"/>
          <w:numId w:val="1002"/>
        </w:numPr>
        <w:pStyle w:val="Compact"/>
      </w:pPr>
      <w:r>
        <w:t xml:space="preserve">მომსახურებისას მიჰყევით მწარმოებლის უსაფრთხოების ინსტრუქციებს.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მოწყობილობა სუფთაა და აქვს ინვენტარის ნომერი.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 მოწყობილობის შემდეგი მომსახურების თარიღი.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ინვენტარის შედგენა.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ყოველი კლინიკური მოწყობილობა სახელით, მოდელით, სერიული ნომრით, ადგილმდებარეობით, მფლობელით, ბოლო და შემდეგი მომსახურების ვადით.</w:t>
      </w:r>
    </w:p>
    <w:p>
      <w:pPr>
        <w:numPr>
          <w:ilvl w:val="0"/>
          <w:numId w:val="1004"/>
        </w:numPr>
        <w:pStyle w:val="Compact"/>
      </w:pPr>
      <w:r>
        <w:t xml:space="preserve">ინვენტარი ყოველ კვარტალში შეადარეთ გამოყენებაში მყოფ მოწყობილობებს.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ინვენტარში არ მყოფი მოწყობილობა არასდროს ემსახურება.</w:t>
      </w:r>
    </w:p>
    <w:p>
      <w:pPr>
        <w:pStyle w:val="BodyText"/>
      </w:pPr>
      <w:r>
        <w:t xml:space="preserve">ეტაპი 2. მომსახურება გრაფიკით.</w:t>
      </w:r>
    </w:p>
    <w:p>
      <w:pPr>
        <w:numPr>
          <w:ilvl w:val="0"/>
          <w:numId w:val="1005"/>
        </w:numPr>
        <w:pStyle w:val="Compact"/>
      </w:pPr>
      <w:r>
        <w:t xml:space="preserve">მოვლა ჩაატარეთ მწარმოებლის ან კომიტეტის მიერ დადგენილი ინტერვალით (EC).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კვალიფიცირებული ან დამტკიცებული ინჟინერი.</w:t>
      </w:r>
    </w:p>
    <w:p>
      <w:pPr>
        <w:numPr>
          <w:ilvl w:val="0"/>
          <w:numId w:val="1005"/>
        </w:numPr>
        <w:pStyle w:val="Compact"/>
      </w:pPr>
      <w:r>
        <w:t xml:space="preserve">მომსახურება აღნუსხეთ EQP-REG-001-ზე თარიღით, ინჟინრითა და შედეგით.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მომსახურების ჩანაწერი ადასტურებს, რომ მოწყობილობა შემოწმდა და არა უბრალოდ იმას, რომ შემოწმება უნდა ყოფილიყო.</w:t>
      </w:r>
    </w:p>
    <w:p>
      <w:pPr>
        <w:pStyle w:val="BodyText"/>
      </w:pPr>
      <w:r>
        <w:t xml:space="preserve">ეტაპი 3. შემოწმება ყოველ გამოყენებამდე.</w:t>
      </w:r>
    </w:p>
    <w:p>
      <w:pPr>
        <w:numPr>
          <w:ilvl w:val="0"/>
          <w:numId w:val="1006"/>
        </w:numPr>
        <w:pStyle w:val="Compact"/>
      </w:pPr>
      <w:r>
        <w:t xml:space="preserve">მომხმარებელი ამოწმებს, რომ მოწყობილობა სუფთაა, დაზიანებული არ არის და მომსახურების ვადაში ჯდება.</w:t>
      </w:r>
    </w:p>
    <w:p>
      <w:pPr>
        <w:numPr>
          <w:ilvl w:val="0"/>
          <w:numId w:val="1006"/>
        </w:numPr>
        <w:pStyle w:val="Compact"/>
      </w:pPr>
      <w:r>
        <w:t xml:space="preserve">მოწყობილობა შეამოწმეთ ყოველდღიურად მწარმოებლის მოთხოვნის შესაბამისად.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ყოველდღიური შემოწმებები იმ გაუმართაობებს აღმოაჩენს, რომელსაც გრაფიკული მომსახურება გამოტოვებს.</w:t>
      </w:r>
    </w:p>
    <w:p>
      <w:pPr>
        <w:pStyle w:val="BodyText"/>
      </w:pPr>
      <w:r>
        <w:t xml:space="preserve">ეტაპი 4. გაუმართავი აპარატურის მწყობრიდან ამოღება.</w:t>
      </w:r>
    </w:p>
    <w:p>
      <w:pPr>
        <w:numPr>
          <w:ilvl w:val="0"/>
          <w:numId w:val="1007"/>
        </w:numPr>
        <w:pStyle w:val="Compact"/>
      </w:pPr>
      <w:r>
        <w:t xml:space="preserve">როცა მოწყობილობა გაუმართავია, დაუყოვნებლივ შეწყვიტეთ მისი გამოყენება.</w:t>
      </w:r>
    </w:p>
    <w:p>
      <w:pPr>
        <w:numPr>
          <w:ilvl w:val="0"/>
          <w:numId w:val="1007"/>
        </w:numPr>
        <w:pStyle w:val="Compact"/>
      </w:pPr>
      <w:r>
        <w:t xml:space="preserve">მიამაგრეთ მწყობრიდან გამოსვლის ეტიკეტი (EQP-FRM-001), რომელშიც მითითებულია გაუმართაობა, თარიღი და მომხმარებლის სახელი.</w:t>
      </w:r>
    </w:p>
    <w:p>
      <w:pPr>
        <w:numPr>
          <w:ilvl w:val="0"/>
          <w:numId w:val="1007"/>
        </w:numPr>
        <w:pStyle w:val="Compact"/>
      </w:pPr>
      <w:r>
        <w:t xml:space="preserve">გადაიტანეთ შესაკეთებლად საწყობში, კლინიკური არეალის გარეთ.</w:t>
      </w:r>
    </w:p>
    <w:p>
      <w:pPr>
        <w:numPr>
          <w:ilvl w:val="0"/>
          <w:numId w:val="1007"/>
        </w:numPr>
        <w:pStyle w:val="Compact"/>
      </w:pPr>
      <w:r>
        <w:t xml:space="preserve">იმავე ცვლაში მოახსენეთ ინჟინერიის ხელმძღვანელს.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ეტიკეტირებული მოწყობილობა შეცდომით ვერ გამოიყენება. ადგილზე დატოვებული კი შეიძლება.</w:t>
      </w:r>
    </w:p>
    <w:p>
      <w:pPr>
        <w:pStyle w:val="BodyText"/>
      </w:pPr>
      <w:r>
        <w:t xml:space="preserve">ეტაპი 5. შეკეთება, შემოწმება და გათავისუფლება.</w:t>
      </w:r>
    </w:p>
    <w:p>
      <w:pPr>
        <w:numPr>
          <w:ilvl w:val="0"/>
          <w:numId w:val="1008"/>
        </w:numPr>
        <w:pStyle w:val="Compact"/>
      </w:pPr>
      <w:r>
        <w:t xml:space="preserve">ინჟინერი მოწყობილობას არემონტებს და ამოწმებს.</w:t>
      </w:r>
    </w:p>
    <w:p>
      <w:pPr>
        <w:numPr>
          <w:ilvl w:val="0"/>
          <w:numId w:val="1008"/>
        </w:numPr>
        <w:pStyle w:val="Compact"/>
      </w:pPr>
      <w:r>
        <w:t xml:space="preserve">მოწყობილობას მხოლოდ ინჟინერი ათავისუფლებს, ეტიკეტის მოხსნითა და გათავისუფლების აღნუსხვით EQP-REG-001-ზე.</w:t>
      </w:r>
    </w:p>
    <w:p>
      <w:pPr>
        <w:numPr>
          <w:ilvl w:val="0"/>
          <w:numId w:val="1008"/>
        </w:numPr>
        <w:pStyle w:val="Compact"/>
      </w:pPr>
      <w:r>
        <w:t xml:space="preserve">თუ მოწყობილობის შეკეთება შეუძლებელია, ამოიღეთ და აღნუსხეთ განადგურება.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გათავისუფლება კონტროლირებადი ეტაპია. მხოლოდ შეკეთება საკმარისი არ არის.</w:t>
      </w:r>
    </w:p>
    <w:p>
      <w:pPr>
        <w:pStyle w:val="BodyText"/>
      </w:pPr>
      <w:r>
        <w:t xml:space="preserve">ეტაპი 6. გრაფიკის ყოველკვარტალური განხილვა.</w:t>
      </w:r>
    </w:p>
    <w:p>
      <w:pPr>
        <w:numPr>
          <w:ilvl w:val="0"/>
          <w:numId w:val="1009"/>
        </w:numPr>
        <w:pStyle w:val="Compact"/>
      </w:pPr>
      <w:r>
        <w:t xml:space="preserve">განიხილეთ ვადაგადაცილებული მომსახურებები, განმეორებადი გაუმართაობები და აპარატურის ასაკი.</w:t>
      </w:r>
    </w:p>
    <w:p>
      <w:pPr>
        <w:numPr>
          <w:ilvl w:val="0"/>
          <w:numId w:val="1009"/>
        </w:numPr>
        <w:pStyle w:val="Compact"/>
      </w:pPr>
      <w:r>
        <w:t xml:space="preserve">დააყენეთ ქმედებები განმეორებადი გაუმართაობის მქონე მოწყობილობებისთვის, მათ შორის შეცვლა.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განმეორებადი გაუმართაობა აჩვენებს მოწყობილობას ან პროცესს, რომელიც უნდა შეიცვალოს.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10"/>
        </w:numPr>
        <w:pStyle w:val="Compact"/>
      </w:pPr>
      <w:r>
        <w:t xml:space="preserve">თუ გაუმართავი მოწყობილობა გამოყენებაში აღმოჩნდება, ინჟინერი და პალატის უფროსი ამ მოწყობილობით ბოლო პერიოდში მკურნალობული ყველა პაციენტს განიხილავენ და წყვეტენ შემდგომ ქმედებას (EC).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საჭიროა საგანგებო მოწყობილობა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გამოიყენეთ უახლოესი მუშა ანალოგი. აცნობეთ ინჟინერიის ხელმძღვანელს და აღნუსხეთ ჩანაცვლება.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1"/>
        </w:numPr>
        <w:pStyle w:val="Compact"/>
      </w:pPr>
      <w:r>
        <w:t xml:space="preserve">პაციენტის ზიანის გამომწვევი გაუმართაობები დაუყოვნებლივ მოიხსენება ინციდენტებად (INC-POL-001).</w:t>
      </w:r>
    </w:p>
    <w:p>
      <w:pPr>
        <w:numPr>
          <w:ilvl w:val="0"/>
          <w:numId w:val="1011"/>
        </w:numPr>
        <w:pStyle w:val="Compact"/>
      </w:pPr>
      <w:r>
        <w:t xml:space="preserve">სასიცოცხლოდ მნიშვნელოვანი მოწყობილობების ვადაგადაცილებული მომსახურება ესკალირდება აღმასრულებელ დირექტორთან.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მოწყობილობები ინვენტარში მომსახურების თარიღით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ინვენტარში დამატება 7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მომსახურება დასრულებული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გაუმართავი მოწყობილობები მწყობრიდან ამოღებული იმავე ცვლაში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მოვლენა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პალატის ან განყოფილების უფროსი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მოვლენის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EQP-REG-001 აპარატურის ინვენტარი და მომსახურების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მოწყობილობის სიცოცხლე პლუს დაწესებულების ჩანაწერების პოლიტიკით დადგენილი პერიოდი, წლებში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EQP-FRM-001 მწყობრიდან გამოსვლის ეტიკეტის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ინჟინერიის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2"/>
        </w:numPr>
        <w:pStyle w:val="Compact"/>
      </w:pPr>
      <w:r>
        <w:t xml:space="preserve">მომხმარებლები გადამზადებულნი არიან ყოველ მოწყობილობაზე გამოყენებამდე და ყოველდღიურ შემოწმებებზე (EC).</w:t>
      </w:r>
    </w:p>
    <w:p>
      <w:pPr>
        <w:numPr>
          <w:ilvl w:val="0"/>
          <w:numId w:val="1012"/>
        </w:numPr>
        <w:pStyle w:val="Compact"/>
      </w:pPr>
      <w:r>
        <w:t xml:space="preserve">ინჟინრები გადამზადებულნი და დამტკიცებულნი არიან მოწყობილობის ყოველი ტიპისთვის.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EQP-REG-001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აპარატურის ინვენტარი და მომსახურების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ეტაპებ 1-დან 3-მდე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EQP-FRM-001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მწყობრიდან გამოსვლის ეტიკეტი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ეტაპ 4-ში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FAC-REG-001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ინტეგრირებული ობიექტის რისკის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აპარატურის რისკები იქ აღინუსხება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აპარატურის გაუმართაობის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გაუმართაობაზე რეაგირება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მომსახურების ინტერვალები მიჰყვება თითოეული მწარმოებლის ინსტრუქციებს; განხილვის წესებს კომიტეტი ადგენს.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შესწორდა ჯვარედინი მითითებები, სტატუსის ფორმულირებები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3"/>
        </w:numPr>
        <w:pStyle w:val="Compact"/>
      </w:pPr>
      <w:hyperlink r:id="rId45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13"/>
        </w:numPr>
        <w:pStyle w:val="Compact"/>
      </w:pPr>
      <w:hyperlink r:id="rId46">
        <w:r>
          <w:rPr>
            <w:rStyle w:val="Hyperlink"/>
          </w:rPr>
          <w:t xml:space="preserve">Electrical Safety &amp; Appliance Inspection</w:t>
        </w:r>
      </w:hyperlink>
      <w:r>
        <w:t xml:space="preserve"> </w:t>
      </w:r>
      <w:r>
        <w:t xml:space="preserve">(ELEC-01)</w:t>
      </w:r>
    </w:p>
    <w:bookmarkEnd w:id="47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4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ka/documents/eqp-frm-001/" TargetMode="External"/><Relationship Id="rId39" Type="http://schemas.openxmlformats.org/officeDocument/2006/relationships/hyperlink" Target="/ka/documents/eqp-reg-001/" TargetMode="External"/><Relationship Id="rId41" Type="http://schemas.openxmlformats.org/officeDocument/2006/relationships/hyperlink" Target="/ka/documents/fac-reg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4" TargetMode="External"/><Relationship Id="rId46" Type="http://schemas.openxmlformats.org/officeDocument/2006/relationships/hyperlink" Target="https://academy.gmj.ge/courses/asf-elec-01-en/" TargetMode="External"/><Relationship Id="rId45" Type="http://schemas.openxmlformats.org/officeDocument/2006/relationships/hyperlink" Target="https://academy.gmj.ge/courses/asf-h-03-en/" TargetMode="Externa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ka/documents/eqp-frm-001/" TargetMode="External"/><Relationship Id="rId39" Type="http://schemas.openxmlformats.org/officeDocument/2006/relationships/hyperlink" Target="/ka/documents/eqp-reg-001/" TargetMode="External"/><Relationship Id="rId41" Type="http://schemas.openxmlformats.org/officeDocument/2006/relationships/hyperlink" Target="/ka/documents/fac-reg-001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b/" TargetMode="External"/><Relationship Id="rId23" Type="http://schemas.openxmlformats.org/officeDocument/2006/relationships/hyperlink" Target="/ka/standards/standard-2b/#c2b-4" TargetMode="External"/><Relationship Id="rId46" Type="http://schemas.openxmlformats.org/officeDocument/2006/relationships/hyperlink" Target="https://academy.gmj.ge/courses/asf-elec-01-en/" TargetMode="External"/><Relationship Id="rId45" Type="http://schemas.openxmlformats.org/officeDocument/2006/relationships/hyperlink" Target="https://academy.gmj.ge/courses/asf-h-03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2026-11-07T01:52:23Z</dcterms:created>
  <dcterms:modified xsi:type="dcterms:W3CDTF">2026-11-07T01:52:23Z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