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FAC-REG-001:</w:t>
      </w:r>
      <w:r>
        <w:t xml:space="preserve"> </w:t>
      </w:r>
      <w:r>
        <w:t xml:space="preserve">ობიექტის</w:t>
      </w:r>
      <w:r>
        <w:t xml:space="preserve"> </w:t>
      </w:r>
      <w:r>
        <w:t xml:space="preserve">ინტეგრირებული</w:t>
      </w:r>
      <w:r>
        <w:t xml:space="preserve"> </w:t>
      </w:r>
      <w:r>
        <w:t xml:space="preserve">რისკების</w:t>
      </w:r>
      <w:r>
        <w:t xml:space="preserve"> </w:t>
      </w:r>
      <w:r>
        <w:t xml:space="preserve">რეგისტრი</w:t>
      </w:r>
    </w:p>
    <w:bookmarkStart w:id="33" w:name="X6bad4a77cd2ed077bb0916593db0f75fc8b6185"/>
    <w:p>
      <w:pPr>
        <w:pStyle w:val="Heading1"/>
      </w:pPr>
      <w:r>
        <w:t xml:space="preserve">FAC-REG-001: ობიექტის ინტეგრირებული რისკების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2B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FAC-REG-001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2B.6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ერთი რეგისტრი ობიექტის ყველა რისკისთვის: წყალი, ხანძარი, აღჭურვილობა, დასუფთავება, ნიშნები, ელექტროენერგია და სხვა.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ყოველი რისკისთვის დაამატეთ ხაზი მისი წყაროთი.</w:t>
      </w:r>
    </w:p>
    <w:p>
      <w:pPr>
        <w:numPr>
          <w:ilvl w:val="0"/>
          <w:numId w:val="1001"/>
        </w:numPr>
        <w:pStyle w:val="Compact"/>
      </w:pPr>
      <w:r>
        <w:t xml:space="preserve">შეაფასეთ ალბათობა და გავლენა (თითოეული 1-დან 5-მდე, EC).</w:t>
      </w:r>
    </w:p>
    <w:p>
      <w:pPr>
        <w:numPr>
          <w:ilvl w:val="0"/>
          <w:numId w:val="1001"/>
        </w:numPr>
        <w:pStyle w:val="Compact"/>
      </w:pPr>
      <w:r>
        <w:t xml:space="preserve">დანიშნეთ ერთი პასუხისმგებელი, კონტროლი, ქმედება, ვადა და განხილვის თარიღი.</w:t>
      </w:r>
    </w:p>
    <w:p>
      <w:pPr>
        <w:numPr>
          <w:ilvl w:val="0"/>
          <w:numId w:val="1001"/>
        </w:numPr>
        <w:pStyle w:val="Compact"/>
      </w:pPr>
      <w:r>
        <w:t xml:space="preserve">ყოველთვიურად განაახლეთ.</w:t>
      </w:r>
    </w:p>
    <w:bookmarkEnd w:id="25"/>
    <w:bookmarkStart w:id="26" w:name="ჩანაწერის-ველები"/>
    <w:p>
      <w:pPr>
        <w:pStyle w:val="Heading2"/>
      </w:pPr>
      <w:r>
        <w:t xml:space="preserve">ჩანაწერის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რისკის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ზონა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აღწერა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ალბათობა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გავლენა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რეიტინგი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 და ვადა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განხილვის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გასწორებული ჯვარედინი მითითებები, სტატუსის ფორმულირება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28"/>
    <w:bookmarkStart w:id="31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Environment &amp; Shared Spaces</w:t>
        </w:r>
      </w:hyperlink>
      <w:r>
        <w:t xml:space="preserve"> </w:t>
      </w:r>
      <w:r>
        <w:t xml:space="preserve">(H-03)</w:t>
      </w:r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შიდა აუდიტი — დაგეგმვა, ჩატარება, ანგარიში</w:t>
        </w:r>
      </w:hyperlink>
      <w:r>
        <w:t xml:space="preserve"> </w:t>
      </w:r>
      <w:r>
        <w:t xml:space="preserve">(T-03)</w:t>
      </w:r>
    </w:p>
    <w:bookmarkEnd w:id="31"/>
    <w:bookmarkStart w:id="32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6" TargetMode="External" /><Relationship Type="http://schemas.openxmlformats.org/officeDocument/2006/relationships/hyperlink" Id="rId29" Target="https://academy.gmj.ge/courses/asf-h-03-en/" TargetMode="External" /><Relationship Type="http://schemas.openxmlformats.org/officeDocument/2006/relationships/hyperlink" Id="rId30" Target="https://academy.gmj.ge/courses/asf-t-03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6" TargetMode="External" /><Relationship Type="http://schemas.openxmlformats.org/officeDocument/2006/relationships/hyperlink" Id="rId29" Target="https://academy.gmj.ge/courses/asf-h-03-en/" TargetMode="External" /><Relationship Type="http://schemas.openxmlformats.org/officeDocument/2006/relationships/hyperlink" Id="rId30" Target="https://academy.gmj.ge/courses/asf-t-03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FAC-REG-001: ობიექტის ინტეგრირებული რისკების რეგისტრი</dc:title>
  <dc:creator/>
  <dc:language>ka</dc:language>
  <cp:keywords/>
  <dcterms:created xsi:type="dcterms:W3CDTF">2026-11-07T01:47:56Z</dcterms:created>
  <dcterms:modified xsi:type="dcterms:W3CDTF">2026-11-07T01:47:56Z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