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FAC-SOP-001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შეინახეთ ერთი ობიექტის რისკების რეესტრი, რომელიც მოიცავს წყალს, ხანძარს, აღჭურვილობას, დასუფთავებას, ნიშნებს, ელექტროენერგიასა და სხვა ობიექტის რისკებს.</w:t>
      </w:r>
    </w:p>
    <w:p>
      <w:pPr>
        <w:numPr>
          <w:ilvl w:val="0"/>
          <w:numId w:val="1001"/>
        </w:numPr>
        <w:pStyle w:val="Compact"/>
      </w:pPr>
      <w:r>
        <w:t xml:space="preserve">მიანიჭეთ ყოველ რისკს პასუხისმგებელი პირი, შეფასება და განხილვის თარიღი.</w:t>
      </w:r>
    </w:p>
    <w:p>
      <w:pPr>
        <w:numPr>
          <w:ilvl w:val="0"/>
          <w:numId w:val="1001"/>
        </w:numPr>
        <w:pStyle w:val="Compact"/>
      </w:pPr>
      <w:r>
        <w:t xml:space="preserve">რეესტრი განიხილეთ ყოველ თვეში ობიექტის შეხვედრაზე.</w:t>
      </w:r>
    </w:p>
    <w:p>
      <w:pPr>
        <w:numPr>
          <w:ilvl w:val="0"/>
          <w:numId w:val="1001"/>
        </w:numPr>
        <w:pStyle w:val="Compact"/>
      </w:pPr>
      <w:r>
        <w:t xml:space="preserve">ყოველ კვარტალში ძირითადი რისკები მმართველ ორგანოს წარუდგინეთ.</w:t>
      </w:r>
    </w:p>
    <w:p>
      <w:pPr>
        <w:numPr>
          <w:ilvl w:val="0"/>
          <w:numId w:val="1001"/>
        </w:numPr>
        <w:pStyle w:val="Compact"/>
      </w:pPr>
      <w:r>
        <w:t xml:space="preserve">რისკი დახურეთ მხოლოდ მაშინ, როცა მისი კონტროლის მუშაობა დადასტურდება.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მაღალი რისკის ელემენტს არ აქვს პასუხისმგებელი პირი ან ქმედება, ან რისკი აღირიცხება მხოლოდ რეესტრის გარეთ, ცალკე ჩამონათვალში.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ობიექტის ყველა რისკი ერთად იყოს თვალსაჩინო და არცერთი რისკი ცალკეული ჩამონათვალების შორის არ დაიკარგოს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თანამშრომლები, სამსახურების უფროსები და რისკების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მთელი ობიექტი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უწყვეტად; თვიურად განიხილება; კვარტალურად ანგარიშდება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რისკები, რომლებიც ინახება კლინიკური რისკის რეესტრში (იხილეთ რისკის მართვის პოლიტიკა)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რისკი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 ან მოვლენა შენობებში, სისტემებსა და აღჭურვილობაში, რამაც შეიძლება გამოიწვიოს ზიანი, დანაკარგი ან მომსახურების მარცხი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ქულა ალბათობისა და ზემოქმედების ნამრავლისგან, რისკის პოლიტიკაში მოცემული შკალით (EC)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 ან ბარიერი, რომელიც ამცირებს შეფასებას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წყლის, ხანძრის, აღჭურვილობის, დასუფთავებისა და ნიშნების რისკები ხშირად იმართება ცალკე სიებში, რომლებსაც ერთად არავინ კითხულობს. ინტეგრირებული რეესტრი აჩვენებს მთლიან ექსპოზიციას და პრიორიტეტებს. კრიტერიუმი 2B.6 მოითხოვს ერთ, განხილულ რეესტრს.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რეესტრს; ატარებს თვიურ განხილვას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რისკების მართვა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რისკის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ინახავს შეფასების მეთოდს; ანგარიშობს მმართველ ორგანოს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რისკის მართვა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რისკების პასუხისმგებელი პირები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ფლობენ თავიანთ რისკს; უზრუნველყოფენ კონტროლს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არის კომპეტენცია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ინტეგრირებული ობიექტის რისკების რეესტრი (FAC-REG-001)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ერთი რეესტრი; 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თვიურად განხილული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რისკის შეფასების შკალა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ალბათობისა და ზემოქმედების შკალები რისკის პოლიტიკიდან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რისკი არ მცირდება იმით, რომ ის აღირიცხება. კონტროლი უნდა იყოს დანერგილი.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შეაგროვეთ თითოეული არის უახლესი მომსახურების, ტესტისა და აუდიტის შედეგები.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შეიტანეთ ყოველი ობიექტის რისკი.</w:t>
      </w:r>
    </w:p>
    <w:p>
      <w:pPr>
        <w:numPr>
          <w:ilvl w:val="0"/>
          <w:numId w:val="1004"/>
        </w:numPr>
        <w:pStyle w:val="Compact"/>
      </w:pPr>
      <w:r>
        <w:t xml:space="preserve">შეაგროვეთ რისკები წყლის ტესტირებიდან, ხანძრის შემოწმებებიდან, აღჭურვილობის მომსახურებიდან, დასუფთავების აუდიტებიდან, ნიშნების გამოკვლევებიდან და მარცხების ჟურნალიდან.</w:t>
      </w:r>
    </w:p>
    <w:p>
      <w:pPr>
        <w:numPr>
          <w:ilvl w:val="0"/>
          <w:numId w:val="1004"/>
        </w:numPr>
        <w:pStyle w:val="Compact"/>
      </w:pPr>
      <w:r>
        <w:t xml:space="preserve">შეიტანეთ ყოველი FAC-REG-001-ზე მოკლე აღწერითა და წყაროთი.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ერთი სია სრულია მხოლოდ მაშინ, თუ ყოველი წყარო მასში შედის.</w:t>
      </w:r>
    </w:p>
    <w:p>
      <w:pPr>
        <w:pStyle w:val="BodyText"/>
      </w:pPr>
      <w:r>
        <w:t xml:space="preserve">ნაბიჯი 2. შეფასება და მინიჭება.</w:t>
      </w:r>
    </w:p>
    <w:p>
      <w:pPr>
        <w:numPr>
          <w:ilvl w:val="0"/>
          <w:numId w:val="1005"/>
        </w:numPr>
        <w:pStyle w:val="Compact"/>
      </w:pPr>
      <w:r>
        <w:t xml:space="preserve">შეაფასეთ ყოველი რისკი ალბათობისა და ზემოქმედების მიხედვით.</w:t>
      </w:r>
    </w:p>
    <w:p>
      <w:pPr>
        <w:numPr>
          <w:ilvl w:val="0"/>
          <w:numId w:val="1005"/>
        </w:numPr>
        <w:pStyle w:val="Compact"/>
      </w:pPr>
      <w:r>
        <w:t xml:space="preserve">მიანიჭეთ ყოველ რისკს ერთი პასუხისმგებელი პირი.</w:t>
      </w:r>
    </w:p>
    <w:p>
      <w:pPr>
        <w:numPr>
          <w:ilvl w:val="0"/>
          <w:numId w:val="1005"/>
        </w:numPr>
        <w:pStyle w:val="Compact"/>
      </w:pPr>
      <w:r>
        <w:t xml:space="preserve">ჩაწერეთ მიმდინარე კონტროლი და დაგეგმილი ქმედებები თარიღებით.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პასუხისმგებლობა არის ის, რაც რისკს მოძრაობაში აყენებს.</w:t>
      </w:r>
    </w:p>
    <w:p>
      <w:pPr>
        <w:pStyle w:val="BodyText"/>
      </w:pPr>
      <w:r>
        <w:t xml:space="preserve">ნაბიჯი 3. თვიური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განიხილეთ რეესტრი ობიექტის შეხვედრაზე.</w:t>
      </w:r>
    </w:p>
    <w:p>
      <w:pPr>
        <w:numPr>
          <w:ilvl w:val="0"/>
          <w:numId w:val="1006"/>
        </w:numPr>
        <w:pStyle w:val="Compact"/>
      </w:pPr>
      <w:r>
        <w:t xml:space="preserve">შეამოწმეთ ყოველი ვადაგადაცილებული ქმედება და ყოველი რისკი, რომლის შეფასებაც შეიცვალა.</w:t>
      </w:r>
    </w:p>
    <w:p>
      <w:pPr>
        <w:numPr>
          <w:ilvl w:val="0"/>
          <w:numId w:val="1006"/>
        </w:numPr>
        <w:pStyle w:val="Compact"/>
      </w:pPr>
      <w:r>
        <w:t xml:space="preserve">რისკები დახურეთ მხოლოდ მაშინ, როცა მათი კონტროლი მტკიცებულებით არის დადასტურებული.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თვიური განხილვა რეესტრს ცოცხალს ინარჩუნებს.</w:t>
      </w:r>
    </w:p>
    <w:p>
      <w:pPr>
        <w:pStyle w:val="BodyText"/>
      </w:pPr>
      <w:r>
        <w:t xml:space="preserve">ნაბიჯი 4. კვარტალური ანგარიში.</w:t>
      </w:r>
    </w:p>
    <w:p>
      <w:pPr>
        <w:numPr>
          <w:ilvl w:val="0"/>
          <w:numId w:val="1007"/>
        </w:numPr>
        <w:pStyle w:val="Compact"/>
      </w:pPr>
      <w:r>
        <w:t xml:space="preserve">გაგზავნეთ ძირითადი რისკები ქმედებებითა და პასუხისმგებელი პირებით მმართველ ორგანოსთან.</w:t>
      </w:r>
    </w:p>
    <w:p>
      <w:pPr>
        <w:numPr>
          <w:ilvl w:val="0"/>
          <w:numId w:val="1007"/>
        </w:numPr>
        <w:pStyle w:val="Compact"/>
      </w:pPr>
      <w:r>
        <w:t xml:space="preserve">აღრიცხეთ განხილვა და ნებისმიერი გადაწყვეტილება.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მმართველ ორგანოს სჭირდება მთლიანი სურათი და არა თითოეული სია ცალკე.</w:t>
      </w:r>
    </w:p>
    <w:p>
      <w:pPr>
        <w:pStyle w:val="BodyText"/>
      </w:pPr>
      <w:r>
        <w:t xml:space="preserve">ნაბიჯი 5. დაკავშირება ინციდენტებთან და აუდიტებთან.</w:t>
      </w:r>
    </w:p>
    <w:p>
      <w:pPr>
        <w:numPr>
          <w:ilvl w:val="0"/>
          <w:numId w:val="1008"/>
        </w:numPr>
        <w:pStyle w:val="Compact"/>
      </w:pPr>
      <w:r>
        <w:t xml:space="preserve">ყოველი ინციდენტი, აუდიტის ჩავარდნა ან მარცხების ჟურნალის ჩანაწერი მოწმდება ახალი ან შეცვლილი რისკის თვალსაზრისით.</w:t>
      </w:r>
    </w:p>
    <w:p>
      <w:pPr>
        <w:numPr>
          <w:ilvl w:val="0"/>
          <w:numId w:val="1008"/>
        </w:numPr>
        <w:pStyle w:val="Compact"/>
      </w:pPr>
      <w:r>
        <w:t xml:space="preserve">რისკი დაამატეთ ან განაახლეთ რეესტრში 7 დღეში.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ინციდენტები აჩვენებს რისკებს, რომლებიც რეესტრმა გამოტოვა.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მაღალი შეფასების მქონე რისკს 30 დღეში კონტროლი არ აქვს, რისკის მენეჯერი მას აღმასრულებელ დირექტორს გადასცემს.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ახალი სამშენებლო სამუშაოები ან გამოყენების ცვლილება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შეიტანეთ რისკები ცვლილებამდე და გადახედეთ მის შემდეგ.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მაღალი შეფასების რისკები დაუყოვნებლივ გადაეცემა აღმასრულებელ დირექტორს, ხოლო მმართველ ორგანოს — მომდევნო შეხვედრაზე.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რისკები პასუხისმგებელი პირითა და შეფასებით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 პირის დანიშვნა 7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ვადაგადაცილებული ქმედებები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დღეზე მეტი: 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რისკის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ინციდენტები რეესტრთან შედარებული 7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რისკის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FAC-REG-001 ინტეგრირებული ობიექტის რისკების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ობიექტისა და რისკების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მიმდინარე, პლუს ისტორია ობიექტის ჩანაწერების პოლიტიკით დადგენილი პერიოდისთვის,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კვარტალური ანგარიში მმართველ ორგანოსთან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1"/>
        </w:numPr>
        <w:pStyle w:val="Compact"/>
      </w:pPr>
      <w:r>
        <w:t xml:space="preserve">რისკების პასუხისმგებელი პირები დანიშვნისას ეცნობებიან რეესტრსა და თავიანთ მოვალეობებს (EC).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FAC-REG-001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ინტეგრირებული ობიექტის რისკების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თავად რეესტრი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GOV-PLN-002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გაუმჯობესების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ქმედებები იკვებება გეგმით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SOP-N16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რისკის მართვისა და ბიზნეს უწყვეტობის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ფართო რისკის პოლიტიკა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შეფასების შკალა EC-ის გადაწყვეტილებაა.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4">
        <w:r>
          <w:rPr>
            <w:rStyle w:val="Hyperlink"/>
          </w:rPr>
          <w:t xml:space="preserve">გარემო და საერთო სივრცეები</w:t>
        </w:r>
      </w:hyperlink>
      <w:r>
        <w:t xml:space="preserve"> </w:t>
      </w:r>
      <w:r>
        <w:t xml:space="preserve">(H-03)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შიდა აუდიტი — დაგეგმვა, შესრულება, ანგარიშგება</w:t>
        </w:r>
      </w:hyperlink>
      <w:r>
        <w:t xml:space="preserve"> </w:t>
      </w:r>
      <w:r>
        <w:t xml:space="preserve">(T-03)</w:t>
      </w:r>
    </w:p>
    <w:bookmarkEnd w:id="46"/>
    <w:bookmarkStart w:id="49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7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fac-reg-001/" TargetMode="External" /><Relationship Type="http://schemas.openxmlformats.org/officeDocument/2006/relationships/hyperlink" Id="rId40" Target="/ka/documents/gov-pln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6" TargetMode="External" /><Relationship Type="http://schemas.openxmlformats.org/officeDocument/2006/relationships/hyperlink" Id="rId44" Target="https://academy.gmj.ge/courses/asf-h-03-en/" TargetMode="External" /><Relationship Type="http://schemas.openxmlformats.org/officeDocument/2006/relationships/hyperlink" Id="rId45" Target="https://academy.gmj.ge/courses/asf-t-03-en/" TargetMode="External" /><Relationship Type="http://schemas.openxmlformats.org/officeDocument/2006/relationships/hyperlink" Id="rId48" Target="https://france-asf.fr/wp-content/uploads/2026/10/fac-sop-001-form-1.docx" TargetMode="External" /><Relationship Type="http://schemas.openxmlformats.org/officeDocument/2006/relationships/hyperlink" Id="rId47" Target="https://france-asf.fr/wp-content/uploads/2026/10/fac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fac-reg-001/" TargetMode="External" /><Relationship Type="http://schemas.openxmlformats.org/officeDocument/2006/relationships/hyperlink" Id="rId40" Target="/ka/documents/gov-pln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6" TargetMode="External" /><Relationship Type="http://schemas.openxmlformats.org/officeDocument/2006/relationships/hyperlink" Id="rId44" Target="https://academy.gmj.ge/courses/asf-h-03-en/" TargetMode="External" /><Relationship Type="http://schemas.openxmlformats.org/officeDocument/2006/relationships/hyperlink" Id="rId45" Target="https://academy.gmj.ge/courses/asf-t-03-en/" TargetMode="External" /><Relationship Type="http://schemas.openxmlformats.org/officeDocument/2006/relationships/hyperlink" Id="rId48" Target="https://france-asf.fr/wp-content/uploads/2026/10/fac-sop-001-form-1.docx" TargetMode="External" /><Relationship Type="http://schemas.openxmlformats.org/officeDocument/2006/relationships/hyperlink" Id="rId47" Target="https://france-asf.fr/wp-content/uploads/2026/10/fac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2026-11-07T01:49:19Z</dcterms:created>
  <dcterms:modified xsi:type="dcterms:W3CDTF">2026-11-07T01:49:19Z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