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FLD-POL-002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9.3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9.4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ზოგიერთი ნაბიჯი იცვლება შეზღუდვის ქვეშ, მაგალითად აღჭურვილობა და მარაგი. უსაფრთხოების ნაბიჯები არ იცვლება.</w:t>
      </w:r>
    </w:p>
    <w:p>
      <w:pPr>
        <w:numPr>
          <w:ilvl w:val="0"/>
          <w:numId w:val="1001"/>
        </w:numPr>
        <w:pStyle w:val="Compact"/>
      </w:pPr>
      <w:r>
        <w:t xml:space="preserve">ქირურგიული შემოწმებები, სტერილიზაცია, ანესთეზიის მონიტორინგი და პირადობის შემოწმებები ყოველთვის მოქმედებს.</w:t>
      </w:r>
    </w:p>
    <w:p>
      <w:pPr>
        <w:numPr>
          <w:ilvl w:val="0"/>
          <w:numId w:val="1001"/>
        </w:numPr>
        <w:pStyle w:val="Compact"/>
      </w:pPr>
      <w:r>
        <w:t xml:space="preserve">ყოველ დეფიციტს აქვს წერილობითი, დამტკიცებული ალტერნატივა, რომელსაც საველე ერთეულის ხელმძღვანელი იყენებამდე ამტკიცებს.</w:t>
      </w:r>
    </w:p>
    <w:p>
      <w:pPr>
        <w:numPr>
          <w:ilvl w:val="0"/>
          <w:numId w:val="1001"/>
        </w:numPr>
        <w:pStyle w:val="Compact"/>
      </w:pPr>
      <w:r>
        <w:t xml:space="preserve">ნებისმიერი ალტერნატივა აღირიცხება მის გამოყენებასთან ერთად.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უსაფრთხოების ნაბიჯი (ჩამონათვალი, სტერილიზაცია, მონიტორინგი, პირადობის შემოწმება) გამოტოვებულია, ან დეფიციტი მოგვარებულია წერილობითი ალტერნატივის გარეშე.</w:t>
      </w:r>
    </w:p>
    <w:bookmarkStart w:id="25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ნათლად ჩანდეს, რომელი უსაფრთხოების ნაბიჯები არასდროს მცირდება და რომელი ალტერნატივები დაშვებულია (9.3, 9.4).</w:t>
      </w:r>
    </w:p>
    <w:bookmarkEnd w:id="25"/>
    <w:bookmarkStart w:id="26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6"/>
    <w:bookmarkStart w:id="27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7"/>
    <w:bookmarkStart w:id="28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საველე საავადმყოფოში სისხლი და მედიკამენტები მწირია, და შემოწმებების გამოტოვების ცდუნება ძლიერია. პარამეტრებთან მორგებული სტანდარტები ინარჩუნებს მათ უსაფრთხოდ, ისე, რომ არ ვაჩვენებთ, რომ გარემო საავადმყოფოა.</w:t>
      </w:r>
    </w:p>
    <w:bookmarkEnd w:id="28"/>
    <w:bookmarkStart w:id="29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საველე ერთეულის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ყოველ ალტერნატივას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ფარმაცევტი ან მარაგის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აღრიცხავს დეფიციტებსა და ალტერნატივებს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ფარმაცევტი</w:t>
            </w:r>
          </w:p>
        </w:tc>
      </w:tr>
    </w:tbl>
    <w:bookmarkEnd w:id="29"/>
    <w:bookmarkStart w:id="30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30"/>
    <w:bookmarkStart w:id="31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1"/>
    <w:bookmarkStart w:id="32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2"/>
    <w:bookmarkStart w:id="33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შეინარჩუნეთ არაგანსახილველი პირობები.</w:t>
      </w:r>
    </w:p>
    <w:p>
      <w:pPr>
        <w:numPr>
          <w:ilvl w:val="0"/>
          <w:numId w:val="1004"/>
        </w:numPr>
        <w:pStyle w:val="Compact"/>
      </w:pPr>
      <w:r>
        <w:t xml:space="preserve">ყოველ ადგილას შეინარჩუნეთ ქირურგიული ჩამონათვალი, სტერილიზაცია, ანესთეზიის მონიტორინგი და ორი პირის მიერ პირადობის შემოწმება.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ეს არასდროს იცვლება.</w:t>
      </w:r>
    </w:p>
    <w:p>
      <w:pPr>
        <w:pStyle w:val="BodyText"/>
      </w:pPr>
      <w:r>
        <w:t xml:space="preserve">ნაბიჯი 2. გამოიყენეთ დამტკიცებული ალტერნატივები.</w:t>
      </w:r>
    </w:p>
    <w:p>
      <w:pPr>
        <w:numPr>
          <w:ilvl w:val="0"/>
          <w:numId w:val="1005"/>
        </w:numPr>
        <w:pStyle w:val="Compact"/>
      </w:pPr>
      <w:r>
        <w:t xml:space="preserve">სადაც სისხლი ან მედიკამენტი აკლია, გამოიყენეთ მხოლოდ ისეთი ალტერნატივა, რომელიც საველე ერთეულის ხელმძღვანელს აქვს წერილობით და დამტკიცებული გამოყენებამდე, და აღრიცხეთ გამოყენება.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მხოლოდ ჩამოთვლილი ალტერნატივები.</w:t>
      </w:r>
    </w:p>
    <w:p>
      <w:pPr>
        <w:pStyle w:val="BodyText"/>
      </w:pPr>
      <w:r>
        <w:t xml:space="preserve">ნაბიჯი 3. აღრიცხეთ გამოყენება.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ყოველი გამოყენებული ალტერნატივა, მიზეზი და დამამტკიცებელი კლინიკოსი.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ყოველი გამოყენება აღირიცხება.</w:t>
      </w:r>
    </w:p>
    <w:bookmarkEnd w:id="33"/>
    <w:bookmarkStart w:id="34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4"/>
    <w:bookmarkStart w:id="35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5"/>
    <w:bookmarkStart w:id="36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6"/>
    <w:bookmarkStart w:id="37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გამოყენებული ალტერნატივები, რომლებიც წერილობით იყო დამტკიცებული გამოყენებამდე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საველე ერთეულის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საკოორდინაციო ორგანოსთან</w:t>
            </w:r>
          </w:p>
        </w:tc>
      </w:tr>
    </w:tbl>
    <w:bookmarkEnd w:id="37"/>
    <w:bookmarkStart w:id="38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8"/>
    <w:bookmarkStart w:id="39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9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SRG-POL-001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ქირურგიული უსაფრთხოების ჩამონათვალი და გუნდის პაუზა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BLD-SOP-006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სისხლის გადაუდებელი გამოშვება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Sphere-ის სახელმძღვანელოზე, ჰუმანიტარულ ქარტიასა და ჰუმანიტარულ რეაგირებაში მინიმალურ სტანდარტებზე (2018).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4"/>
    <w:bookmarkStart w:id="4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5">
        <w:r>
          <w:rPr>
            <w:rStyle w:val="Hyperlink"/>
          </w:rPr>
          <w:t xml:space="preserve">მზრუნველობა და მკურნალობა: კლინიკური სტანდარტები აკრედიტაციისთვის</w:t>
        </w:r>
      </w:hyperlink>
      <w:r>
        <w:t xml:space="preserve"> </w:t>
      </w:r>
      <w:r>
        <w:t xml:space="preserve">(H-04)</w:t>
      </w:r>
    </w:p>
    <w:p>
      <w:pPr>
        <w:numPr>
          <w:ilvl w:val="0"/>
          <w:numId w:val="1010"/>
        </w:numPr>
        <w:pStyle w:val="Compact"/>
      </w:pPr>
      <w:r>
        <w:t xml:space="preserve">გადაუდებელი სამედიცინო აღჭურვილობა და AED მზადყოფნა</w:t>
      </w:r>
      <w:r>
        <w:t xml:space="preserve"> </w:t>
      </w:r>
      <w:r>
        <w:t xml:space="preserve">(MED-02)</w:t>
      </w:r>
    </w:p>
    <w:p>
      <w:pPr>
        <w:numPr>
          <w:ilvl w:val="0"/>
          <w:numId w:val="1010"/>
        </w:numPr>
        <w:pStyle w:val="Compact"/>
      </w:pPr>
      <w:hyperlink r:id="rId46">
        <w:r>
          <w:rPr>
            <w:rStyle w:val="Hyperlink"/>
          </w:rPr>
          <w:t xml:space="preserve">მედიკამენტების უსაფრთხოება: SOP-MED-01 ბოლომდე მართვა</w:t>
        </w:r>
      </w:hyperlink>
      <w:r>
        <w:t xml:space="preserve"> </w:t>
      </w:r>
      <w:r>
        <w:t xml:space="preserve">(T-08)</w:t>
      </w:r>
    </w:p>
    <w:p>
      <w:pPr>
        <w:numPr>
          <w:ilvl w:val="0"/>
          <w:numId w:val="1010"/>
        </w:numPr>
        <w:pStyle w:val="Compact"/>
      </w:pPr>
      <w:r>
        <w:t xml:space="preserve">მედიკამენტების უსაფრთხოება და შენახვა სტუმართა ობიექტებში</w:t>
      </w:r>
      <w:r>
        <w:t xml:space="preserve"> </w:t>
      </w:r>
      <w:r>
        <w:t xml:space="preserve">(MED-03)</w:t>
      </w:r>
    </w:p>
    <w:bookmarkEnd w:id="47"/>
    <w:bookmarkStart w:id="50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8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9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1" Target="/ka/documents/bld-sop-006/" TargetMode="External" /><Relationship Type="http://schemas.openxmlformats.org/officeDocument/2006/relationships/hyperlink" Id="rId40" Target="/ka/documents/srg-pol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9/" TargetMode="External" /><Relationship Type="http://schemas.openxmlformats.org/officeDocument/2006/relationships/hyperlink" Id="rId23" Target="/ka/standards/standard-9/#c9-3" TargetMode="External" /><Relationship Type="http://schemas.openxmlformats.org/officeDocument/2006/relationships/hyperlink" Id="rId24" Target="/ka/standards/standard-9/#c9-4" TargetMode="External" /><Relationship Type="http://schemas.openxmlformats.org/officeDocument/2006/relationships/hyperlink" Id="rId45" Target="https://academy.gmj.ge/courses/asf-h-04-ka/" TargetMode="External" /><Relationship Type="http://schemas.openxmlformats.org/officeDocument/2006/relationships/hyperlink" Id="rId46" Target="https://academy.gmj.ge/courses/asf-t-08-en/" TargetMode="External" /><Relationship Type="http://schemas.openxmlformats.org/officeDocument/2006/relationships/hyperlink" Id="rId49" Target="https://france-asf.fr/wp-content/uploads/2026/10/fld-pol-002-form-1.docx" TargetMode="External" /><Relationship Type="http://schemas.openxmlformats.org/officeDocument/2006/relationships/hyperlink" Id="rId48" Target="https://france-asf.fr/wp-content/uploads/2026/10/fld-pol-002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/ka/documents/bld-sop-006/" TargetMode="External" /><Relationship Type="http://schemas.openxmlformats.org/officeDocument/2006/relationships/hyperlink" Id="rId40" Target="/ka/documents/srg-pol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9/" TargetMode="External" /><Relationship Type="http://schemas.openxmlformats.org/officeDocument/2006/relationships/hyperlink" Id="rId23" Target="/ka/standards/standard-9/#c9-3" TargetMode="External" /><Relationship Type="http://schemas.openxmlformats.org/officeDocument/2006/relationships/hyperlink" Id="rId24" Target="/ka/standards/standard-9/#c9-4" TargetMode="External" /><Relationship Type="http://schemas.openxmlformats.org/officeDocument/2006/relationships/hyperlink" Id="rId45" Target="https://academy.gmj.ge/courses/asf-h-04-ka/" TargetMode="External" /><Relationship Type="http://schemas.openxmlformats.org/officeDocument/2006/relationships/hyperlink" Id="rId46" Target="https://academy.gmj.ge/courses/asf-t-08-en/" TargetMode="External" /><Relationship Type="http://schemas.openxmlformats.org/officeDocument/2006/relationships/hyperlink" Id="rId49" Target="https://france-asf.fr/wp-content/uploads/2026/10/fld-pol-002-form-1.docx" TargetMode="External" /><Relationship Type="http://schemas.openxmlformats.org/officeDocument/2006/relationships/hyperlink" Id="rId48" Target="https://france-asf.fr/wp-content/uploads/2026/10/fld-pol-002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2026-11-07T01:39:46Z</dcterms:created>
  <dcterms:modified xsi:type="dcterms:W3CDTF">2026-11-07T01:39:46Z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