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FRT-POL-001:</w:t>
      </w:r>
      <w:r>
        <w:t xml:space="preserve"> </w:t>
      </w:r>
      <w:r>
        <w:t xml:space="preserve">ინფორმაცია</w:t>
      </w:r>
      <w:r>
        <w:t xml:space="preserve"> </w:t>
      </w:r>
      <w:r>
        <w:t xml:space="preserve">და</w:t>
      </w:r>
      <w:r>
        <w:t xml:space="preserve"> </w:t>
      </w:r>
      <w:r>
        <w:t xml:space="preserve">თანხმობა</w:t>
      </w:r>
      <w:r>
        <w:t xml:space="preserve"> </w:t>
      </w:r>
      <w:r>
        <w:t xml:space="preserve">ნაყოფიერების</w:t>
      </w:r>
      <w:r>
        <w:t xml:space="preserve"> </w:t>
      </w:r>
      <w:r>
        <w:t xml:space="preserve">მკურნალობისთვის</w:t>
      </w:r>
    </w:p>
    <w:bookmarkStart w:id="50" w:name="Xeab9186659553a04aab0bba3aec23ebd696aec5"/>
    <w:p>
      <w:pPr>
        <w:pStyle w:val="Heading1"/>
      </w:pPr>
      <w:r>
        <w:t xml:space="preserve">FRT-POL-001: ინფორმაცია და თანხმობა ნაყოფიერების მკურნალობისთვის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FRT-POL-001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8.2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მკურნალობამდე ყოველი პაციენტი იღებს წერილობით და ზეპირ ინფორმაციას ვარიანტების, წარმატების მაჩვენებლების, რისკების, ხარჯებისა და ალტერნატივების შესახებ.</w:t>
      </w:r>
    </w:p>
    <w:p>
      <w:pPr>
        <w:numPr>
          <w:ilvl w:val="0"/>
          <w:numId w:val="1001"/>
        </w:numPr>
        <w:pStyle w:val="Compact"/>
      </w:pPr>
      <w:r>
        <w:t xml:space="preserve">წარმატების მაჩვენებლები მითითებულია ზუსტად, გამოთვლის საფუძვლით.</w:t>
      </w:r>
    </w:p>
    <w:p>
      <w:pPr>
        <w:numPr>
          <w:ilvl w:val="0"/>
          <w:numId w:val="1001"/>
        </w:numPr>
        <w:pStyle w:val="Compact"/>
      </w:pPr>
      <w:r>
        <w:t xml:space="preserve">თანხმობა მიიღება ყოველ ეტაპზე, მათ შორის გამეტებისა და ემბრიონების დამუშავებაზე, შენახვაზე, გამოყენებასა და მომავალ გამოყენებაზე ან განადგურებაზე.</w:t>
      </w:r>
    </w:p>
    <w:p>
      <w:pPr>
        <w:numPr>
          <w:ilvl w:val="0"/>
          <w:numId w:val="1001"/>
        </w:numPr>
        <w:pStyle w:val="Compact"/>
      </w:pPr>
      <w:r>
        <w:t xml:space="preserve">თანხმობა შეიძლება შეიცვალოს ან გაუქმდეს, და ცვლილება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მკურნალობა იწყება წერილობითი ინფორმაციის გარეშე, ან ეტაპი იწყება ამ ეტაპზე თანხმობის გარეშე.</w:t>
      </w:r>
    </w:p>
    <w:bookmarkStart w:id="25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ყოველი პაციენტი იგებდეს და თანხმდებოდეს მკურნალობის ყოველ ეტაპს და არა ერთი ხელმოწერით ყველაფერზე (8.1, 8.2).</w:t>
      </w:r>
    </w:p>
    <w:bookmarkEnd w:id="25"/>
    <w:bookmarkStart w:id="26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6"/>
    <w:bookmarkStart w:id="27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7"/>
    <w:bookmarkStart w:id="28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ნაყოფიერების მკურნალობაზე თანხმობა არ არის ერთი ხელმოწერა. ყოველ ეტაპს, მათ შორის გამეტებისა და ემბრიონების შენახვასა და გამოყენებას, საკუთარი ინფორმირებული გადაწყვეტილება სჭირდება, რადგან ყოველი მათგანი სხვადასხვა კითხვას აჩენს.</w:t>
      </w:r>
    </w:p>
    <w:bookmarkEnd w:id="28"/>
    <w:bookmarkStart w:id="29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პოლიტიკას და წარმატების მაჩვენებლის განცხადებას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კონსულტანტი და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ინფორმაციას აძლევს და თანხმობას იწერს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9"/>
    <w:bookmarkStart w:id="30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30"/>
    <w:bookmarkStart w:id="31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1"/>
    <w:bookmarkStart w:id="32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2"/>
    <w:bookmarkStart w:id="33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ინფორმირება.</w:t>
      </w:r>
    </w:p>
    <w:p>
      <w:pPr>
        <w:numPr>
          <w:ilvl w:val="0"/>
          <w:numId w:val="1004"/>
        </w:numPr>
        <w:pStyle w:val="Compact"/>
      </w:pPr>
      <w:r>
        <w:t xml:space="preserve">მიეცით წერილობითი და ზეპირი ინფორმაცია ვარიანტების, წარმატების მაჩვენებლების, რისკების, ხარჯებისა და ალტერნატივების შესახებ (FRT-FRM-001).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წერილობითი და ზეპირი, მკურნალობამდე.</w:t>
      </w:r>
    </w:p>
    <w:p>
      <w:pPr>
        <w:pStyle w:val="BodyText"/>
      </w:pPr>
      <w:r>
        <w:t xml:space="preserve">ნაბიჯი 2. თანხმობა ეტაპების მიხედვით.</w:t>
      </w:r>
    </w:p>
    <w:p>
      <w:pPr>
        <w:numPr>
          <w:ilvl w:val="0"/>
          <w:numId w:val="1005"/>
        </w:numPr>
        <w:pStyle w:val="Compact"/>
      </w:pPr>
      <w:r>
        <w:t xml:space="preserve">თითოეულ ეტაპზე ცალკე მიიღეთ თანხმობა, მათ შორის იმაზე, რა ხდება ნებისმიერ გამეტასა და ემბრიონთან (FRT-FRM-002).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 ეტაპს თავისი თანხმობა.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გეგმის ცვლილებისას განიხილეთ თანხმობა და ჩაწერეთ ნებისმიერი ცვლილება ან გაუქმება.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თანხმობა მიჰყვება გეგმას.</w:t>
      </w:r>
    </w:p>
    <w:bookmarkEnd w:id="33"/>
    <w:bookmarkStart w:id="34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4"/>
    <w:bookmarkStart w:id="35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5"/>
    <w:bookmarkStart w:id="36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6"/>
    <w:bookmarkStart w:id="37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წერილობითი ინფორმაციით მკურნალობამდე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ეტაპები, რომლებზეც თანხმობა ჩაწერილია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7"/>
    <w:bookmarkStart w:id="38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8"/>
    <w:bookmarkStart w:id="39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9"/>
    <w:bookmarkStart w:id="43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FRT-FRM-001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მკურნალობის ინფორმაციისა და ვარიანტების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FRT-FRM-002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ეტაპობრივი თანხმობის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თანხმობა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CON-SOP-001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ინფორმირებული თანხმობა მნიშვნელოვანი მოვლის წინ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თანხმობა</w:t>
            </w:r>
          </w:p>
        </w:tc>
      </w:tr>
    </w:tbl>
    <w:bookmarkEnd w:id="43"/>
    <w:bookmarkStart w:id="44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წარმატების მაჩვენებლის განცხადება უნდა მიჰყვებოდეს ESHRE-ის add-ons კარგი პრაქტიკის რეკომენდაციებს (2023).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4"/>
    <w:bookmarkStart w:id="45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5"/>
    <w:bookmarkStart w:id="48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6">
        <w:r>
          <w:rPr>
            <w:rStyle w:val="Hyperlink"/>
          </w:rPr>
          <w:t xml:space="preserve">Fertility &amp; IVF Accreditation Training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10"/>
        </w:numPr>
        <w:pStyle w:val="Compact"/>
      </w:pPr>
      <w:hyperlink r:id="rId47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10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48"/>
    <w:bookmarkStart w:id="4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frt-frm-001/" TargetMode="External" /><Relationship Type="http://schemas.openxmlformats.org/officeDocument/2006/relationships/hyperlink" Id="rId41" Target="/documents/frt-frm-002/" TargetMode="External" /><Relationship Type="http://schemas.openxmlformats.org/officeDocument/2006/relationships/hyperlink" Id="rId42" Target="/ka/documents/con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1" TargetMode="External" /><Relationship Type="http://schemas.openxmlformats.org/officeDocument/2006/relationships/hyperlink" Id="rId24" Target="/ka/standards/standard-8/#c8-2" TargetMode="External" /><Relationship Type="http://schemas.openxmlformats.org/officeDocument/2006/relationships/hyperlink" Id="rId46" Target="https://academy.gmj.ge/courses/asf-amb-13-en/" TargetMode="External" /><Relationship Type="http://schemas.openxmlformats.org/officeDocument/2006/relationships/hyperlink" Id="rId47" Target="https://academy.gmj.ge/courses/asf-t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frt-frm-001/" TargetMode="External" /><Relationship Type="http://schemas.openxmlformats.org/officeDocument/2006/relationships/hyperlink" Id="rId41" Target="/documents/frt-frm-002/" TargetMode="External" /><Relationship Type="http://schemas.openxmlformats.org/officeDocument/2006/relationships/hyperlink" Id="rId42" Target="/ka/documents/con-sop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1" TargetMode="External" /><Relationship Type="http://schemas.openxmlformats.org/officeDocument/2006/relationships/hyperlink" Id="rId24" Target="/ka/standards/standard-8/#c8-2" TargetMode="External" /><Relationship Type="http://schemas.openxmlformats.org/officeDocument/2006/relationships/hyperlink" Id="rId46" Target="https://academy.gmj.ge/courses/asf-amb-13-en/" TargetMode="External" /><Relationship Type="http://schemas.openxmlformats.org/officeDocument/2006/relationships/hyperlink" Id="rId47" Target="https://academy.gmj.ge/courses/asf-t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FRT-POL-001: ინფორმაცია და თანხმობა ნაყოფიერების მკურნალობისთვის</dc:title>
  <dc:creator/>
  <dc:language>ka</dc:language>
  <cp:keywords/>
  <dcterms:created xsi:type="dcterms:W3CDTF">2026-11-07T01:15:45Z</dcterms:created>
  <dcterms:modified xsi:type="dcterms:W3CDTF">2026-11-07T01:15:45Z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