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31" w:name="X31d14f9a3fd482c004b8752b936236a705248d8"/>
    <w:p>
      <w:pPr>
        <w:pStyle w:val="Heading1"/>
      </w:pPr>
      <w:r>
        <w:t xml:space="preserve">FRT-REG-002: შენახვის მონიტორინგისა და სიგნალიზაციის ჟურნალი</w:t>
      </w:r>
    </w:p>
    <w:p>
      <w:pPr>
        <w:pStyle w:val="FirstParagraph"/>
      </w:pPr>
      <w:hyperlink r:id="rId20">
        <w:r>
          <w:rPr>
            <w:rStyle w:val="Hyperlink"/>
          </w:rPr>
          <w:t xml:space="preserve">სტანდარტები</w:t>
        </w:r>
      </w:hyperlink>
      <w:r>
        <w:t xml:space="preserve"> </w:t>
      </w:r>
      <w:r>
        <w:t xml:space="preserve">›</w:t>
      </w:r>
      <w:r>
        <w:t xml:space="preserve"> </w:t>
      </w:r>
      <w:hyperlink r:id="rId21">
        <w:r>
          <w:rPr>
            <w:rStyle w:val="Hyperlink"/>
          </w:rPr>
          <w:t xml:space="preserve">სტანდარტი 8</w:t>
        </w:r>
      </w:hyperlink>
      <w:r>
        <w:t xml:space="preserve"> </w:t>
      </w:r>
      <w:r>
        <w:t xml:space="preserve">›</w:t>
      </w:r>
      <w:r>
        <w:t xml:space="preserve"> </w:t>
      </w:r>
      <w:hyperlink r:id="rId22">
        <w:r>
          <w:rPr>
            <w:rStyle w:val="Hyperlink"/>
          </w:rPr>
          <w:t xml:space="preserve">რეგისტრები და ჟურნალები</w:t>
        </w:r>
      </w:hyperlink>
    </w:p>
    <w:p>
      <w:pPr>
        <w:pStyle w:val="BodyText"/>
      </w:pPr>
      <w:r>
        <w:t xml:space="preserve">რეგისტრი · FRT-REG-002 · ვერსია 1.0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მხარს უჭერს:</w:t>
      </w:r>
      <w:r>
        <w:t xml:space="preserve"> </w:t>
      </w:r>
      <w:hyperlink r:id="rId23">
        <w:r>
          <w:rPr>
            <w:rStyle w:val="Hyperlink"/>
          </w:rPr>
          <w:t xml:space="preserve">8.4</w:t>
        </w:r>
      </w:hyperlink>
    </w:p>
    <w:bookmarkStart w:id="24" w:name="დანიშნულება"/>
    <w:p>
      <w:pPr>
        <w:pStyle w:val="Heading2"/>
      </w:pPr>
      <w:r>
        <w:t xml:space="preserve">დანიშნულება</w:t>
      </w:r>
    </w:p>
    <w:p>
      <w:pPr>
        <w:pStyle w:val="FirstParagraph"/>
      </w:pPr>
      <w:r>
        <w:t xml:space="preserve">აღნუსხავს შენახვის ტემპერატურას, ყოველ სიგნალიზაციას, მის რეაგირებასა და ყოველ სარეზერვო ტესტს.</w:t>
      </w:r>
    </w:p>
    <w:bookmarkEnd w:id="24"/>
    <w:bookmarkStart w:id="25" w:name="როგორ-შევავსოთ"/>
    <w:p>
      <w:pPr>
        <w:pStyle w:val="Heading2"/>
      </w:pPr>
      <w:r>
        <w:t xml:space="preserve">როგორ შევავსოთ</w:t>
      </w:r>
    </w:p>
    <w:p>
      <w:pPr>
        <w:numPr>
          <w:ilvl w:val="0"/>
          <w:numId w:val="1001"/>
        </w:numPr>
        <w:pStyle w:val="Compact"/>
      </w:pPr>
      <w:r>
        <w:t xml:space="preserve">ყოველ შემოწმებაზე აღნუსხეთ ტემპერატურა.</w:t>
      </w:r>
    </w:p>
    <w:p>
      <w:pPr>
        <w:numPr>
          <w:ilvl w:val="0"/>
          <w:numId w:val="1001"/>
        </w:numPr>
        <w:pStyle w:val="Compact"/>
      </w:pPr>
      <w:r>
        <w:t xml:space="preserve">აღნუსხეთ ყოველი სიგნალიზაცია და რეაგირება.</w:t>
      </w:r>
    </w:p>
    <w:p>
      <w:pPr>
        <w:numPr>
          <w:ilvl w:val="0"/>
          <w:numId w:val="1001"/>
        </w:numPr>
        <w:pStyle w:val="Compact"/>
      </w:pPr>
      <w:r>
        <w:t xml:space="preserve">აღნუსხეთ ყოველი სარეზერვო ტესტი.</w:t>
      </w:r>
    </w:p>
    <w:bookmarkEnd w:id="25"/>
    <w:bookmarkStart w:id="26" w:name="ჩასაწერი-ველები"/>
    <w:p>
      <w:pPr>
        <w:pStyle w:val="Heading2"/>
      </w:pPr>
      <w:r>
        <w:t xml:space="preserve">ჩასაწერი ველები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320"/>
        <w:gridCol w:w="1320"/>
        <w:gridCol w:w="1320"/>
        <w:gridCol w:w="1320"/>
        <w:gridCol w:w="1320"/>
        <w:gridCol w:w="132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თარიღი და დრო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შენახვის ერთეული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ტემპერატურა (დიაპაზონში დიახ ან არა)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სიგნალიზაცია (დიახ ან არა)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რეაგირება და დრო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სარეზერვო ტესტი ჩატარებულია (დიახ ან არა)</w:t>
            </w:r>
          </w:p>
        </w:tc>
      </w:tr>
    </w:tbl>
    <w:bookmarkEnd w:id="26"/>
    <w:bookmarkStart w:id="27" w:name="მტკიცებულებები"/>
    <w:p>
      <w:pPr>
        <w:pStyle w:val="Heading2"/>
      </w:pPr>
      <w:r>
        <w:t xml:space="preserve">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მითითება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ეფუძნება ESHRE-ის revised guidelines for good practice in IVF laboratories-ს (2015).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Policy Framework v1.2. Adapted.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Expert Committee consensus.</w:t>
            </w:r>
          </w:p>
        </w:tc>
      </w:tr>
    </w:tbl>
    <w:bookmarkEnd w:id="27"/>
    <w:bookmarkStart w:id="28" w:name="ცვლილებების-ისტორია"/>
    <w:p>
      <w:pPr>
        <w:pStyle w:val="Heading2"/>
      </w:pPr>
      <w:r>
        <w:t xml:space="preserve">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პირველი ვერსია</w:t>
            </w:r>
          </w:p>
        </w:tc>
        <w:tc>
          <w:tcPr/>
          <w:p>
            <w:pPr>
              <w:pStyle w:val="Compact"/>
            </w:pPr>
          </w:p>
        </w:tc>
      </w:tr>
    </w:tbl>
    <w:bookmarkEnd w:id="28"/>
    <w:bookmarkStart w:id="29" w:name="ამ-დოკუმენტის-ელექტრონული-სწავლება"/>
    <w:p>
      <w:pPr>
        <w:pStyle w:val="Heading2"/>
      </w:pPr>
      <w:r>
        <w:t xml:space="preserve">ამ დოკუმენტის ელექტრონული სწავლება</w:t>
      </w:r>
    </w:p>
    <w:p>
      <w:pPr>
        <w:numPr>
          <w:ilvl w:val="0"/>
          <w:numId w:val="1002"/>
        </w:numPr>
        <w:pStyle w:val="Compact"/>
      </w:pPr>
      <w:r>
        <w:t xml:space="preserve">Equipment, calibration, maintenance and environment</w:t>
      </w:r>
      <w:r>
        <w:t xml:space="preserve"> </w:t>
      </w:r>
      <w:r>
        <w:t xml:space="preserve">(L-05)</w:t>
      </w:r>
    </w:p>
    <w:p>
      <w:pPr>
        <w:numPr>
          <w:ilvl w:val="0"/>
          <w:numId w:val="1002"/>
        </w:numPr>
        <w:pStyle w:val="Compact"/>
      </w:pPr>
      <w:r>
        <w:t xml:space="preserve">Information security, LIS downtime, backup and data protection</w:t>
      </w:r>
      <w:r>
        <w:t xml:space="preserve"> </w:t>
      </w:r>
      <w:r>
        <w:t xml:space="preserve">(L-10)</w:t>
      </w:r>
    </w:p>
    <w:bookmarkEnd w:id="29"/>
    <w:bookmarkStart w:id="30" w:name="წყაროები"/>
    <w:p>
      <w:pPr>
        <w:pStyle w:val="Heading2"/>
      </w:pPr>
      <w:r>
        <w:t xml:space="preserve">წყაროები</w:t>
      </w:r>
    </w:p>
    <w:p>
      <w:pPr>
        <w:numPr>
          <w:ilvl w:val="0"/>
          <w:numId w:val="1003"/>
        </w:numPr>
        <w:pStyle w:val="Compact"/>
      </w:pPr>
      <w:r>
        <w:t xml:space="preserve">Accréditation Sans Frontières (2026). ASF Policy Framework v1.2.</w:t>
      </w:r>
      <w:r>
        <w:t xml:space="preserve"> </w:t>
      </w:r>
      <w:r>
        <w:t xml:space="preserve">(E-006)</w:t>
      </w:r>
    </w:p>
    <w:p>
      <w:pPr>
        <w:numPr>
          <w:ilvl w:val="0"/>
          <w:numId w:val="1003"/>
        </w:numPr>
        <w:pStyle w:val="Compact"/>
      </w:pPr>
      <w:r>
        <w:t xml:space="preserve">Accréditation Sans Frontières (2026). ASF Expert Committee consensus on Standard 1.</w:t>
      </w:r>
      <w:r>
        <w:t xml:space="preserve"> </w:t>
      </w:r>
      <w:r>
        <w:t xml:space="preserve">(E-009)</w:t>
      </w:r>
    </w:p>
    <w:bookmarkEnd w:id="30"/>
    <w:bookmarkEnd w:id="31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  <w:rPr>
      <w:rFonts w:ascii="Sylfaen" w:hAnsi="Sylfaen"/>
    </w:rPr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 w:ascii="Sylfaen" w:hAnsi="Sylfaen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Relationship Id="rId22" Type="http://schemas.openxmlformats.org/officeDocument/2006/relationships/hyperlink" Target="/ka/resources/registers/" TargetMode="External"/><Relationship Id="rId20" Type="http://schemas.openxmlformats.org/officeDocument/2006/relationships/hyperlink" Target="/ka/standards/" TargetMode="External"/><Relationship Id="rId21" Type="http://schemas.openxmlformats.org/officeDocument/2006/relationships/hyperlink" Target="/ka/standards/standard-8/" TargetMode="External"/><Relationship Id="rId23" Type="http://schemas.openxmlformats.org/officeDocument/2006/relationships/hyperlink" Target="/ka/standards/standard-8/#c8-4" TargetMode="External"/></Relationships>
</file>

<file path=word/_rels/footnotes.xml.rels><?xml version='1.0' encoding='UTF-8' standalone='yes'?>
<Relationships xmlns="http://schemas.openxmlformats.org/package/2006/relationships"><Relationship Id="rId22" Type="http://schemas.openxmlformats.org/officeDocument/2006/relationships/hyperlink" Target="/ka/resources/registers/" TargetMode="External"/><Relationship Id="rId20" Type="http://schemas.openxmlformats.org/officeDocument/2006/relationships/hyperlink" Target="/ka/standards/" TargetMode="External"/><Relationship Id="rId21" Type="http://schemas.openxmlformats.org/officeDocument/2006/relationships/hyperlink" Target="/ka/standards/standard-8/" TargetMode="External"/><Relationship Id="rId23" Type="http://schemas.openxmlformats.org/officeDocument/2006/relationships/hyperlink" Target="/ka/standards/standard-8/#c8-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2026-11-07T01:36:24Z</dcterms:created>
  <dcterms:modified xsi:type="dcterms:W3CDTF">2026-11-07T01:36:24Z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