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FRT-SOP-001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8.3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გამეტას და ემბრიონს აქვს უნიკალური იდენტიფიკატორი აღებიდან გამოყენებამდე ან განადგურებამდე.</w:t>
      </w:r>
    </w:p>
    <w:p>
      <w:pPr>
        <w:numPr>
          <w:ilvl w:val="0"/>
          <w:numId w:val="1001"/>
        </w:numPr>
        <w:pStyle w:val="Compact"/>
      </w:pPr>
      <w:r>
        <w:t xml:space="preserve">ყოველ დამუშავების ეტაპზე შემოწმდება ორი იდენტიფიკატორი და შემოწმება დამოწმებული იქნება.</w:t>
      </w:r>
    </w:p>
    <w:p>
      <w:pPr>
        <w:numPr>
          <w:ilvl w:val="0"/>
          <w:numId w:val="1001"/>
        </w:numPr>
        <w:pStyle w:val="Compact"/>
      </w:pPr>
      <w:r>
        <w:t xml:space="preserve">ყოველი გადაადგილება აღირიცხება მიკვლევადობის რეესტრში (FRT-REG-001).</w:t>
      </w:r>
    </w:p>
    <w:p>
      <w:pPr>
        <w:numPr>
          <w:ilvl w:val="0"/>
          <w:numId w:val="1001"/>
        </w:numPr>
        <w:pStyle w:val="Compact"/>
      </w:pPr>
      <w:r>
        <w:t xml:space="preserve">არც ერთი გამეტა და ემბრიონი არ გამოიყენება ან არ გადაადგილდება სწორ პაციენტთან შეუსაბამოდ.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გამეტა ან ემბრიონი მუშავდება, გადაადგილდება ან გამოიყენება იდენტიფიკატორის შემოწმებისა და მოწმის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ყოველი გამეტა ან ემბრიონი ყოველ ეტაპზე შესაბამისობაში იყოს სწორ პაციენტთან (8.3).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გამეტა ან ემბრიონი არასწორ ადგილზე, ან არასწორ პაციენტთან შეუსაბამებული, უკან ვერ ბრუნდება. ამის თავიდან აცილება შესაძლებელია იდენტიფიკაციითა და მიკვლევადობით აღებიდან გამოყენებამდე ან განადგურებამდე.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უფროსი ემბრიოლოგი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იდენტიფიკატორებსა და მოწმის წესს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ემბრიოლოგი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ემბრიოლოგი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ამოწმებს და აღრიცხავს ყოველ ეტაპს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ემბრიოლოგი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იდენტიფიკაცია.</w:t>
      </w:r>
    </w:p>
    <w:p>
      <w:pPr>
        <w:numPr>
          <w:ilvl w:val="0"/>
          <w:numId w:val="1004"/>
        </w:numPr>
        <w:pStyle w:val="Compact"/>
      </w:pPr>
      <w:r>
        <w:t xml:space="preserve">მიანიჭეთ ყოველ გამეტას და ემბრიონს თავისი იდენტიფიკატორი აღებისას და აღრიცხეთ FRT-REG-001-ზე.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ერთი იდენტიფიკატორი, ერთი პაციენტი.</w:t>
      </w:r>
    </w:p>
    <w:p>
      <w:pPr>
        <w:pStyle w:val="BodyText"/>
      </w:pPr>
      <w:r>
        <w:t xml:space="preserve">ნაბიჯი 2. შემოწმება ყოველ ეტაპზე.</w:t>
      </w:r>
    </w:p>
    <w:p>
      <w:pPr>
        <w:numPr>
          <w:ilvl w:val="0"/>
          <w:numId w:val="1005"/>
        </w:numPr>
        <w:pStyle w:val="Compact"/>
      </w:pPr>
      <w:r>
        <w:t xml:space="preserve">ყოველ დამუშავების ეტაპზე შეამოწმეთ ორი იდენტიფიკატორი პაციენტის ჩანაწერთან და მოწმესთან.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დამოწმებული, ყოველ ეტაპზე.</w:t>
      </w:r>
    </w:p>
    <w:p>
      <w:pPr>
        <w:pStyle w:val="BodyText"/>
      </w:pPr>
      <w:r>
        <w:t xml:space="preserve">ნაბიჯი 3. აღრიცხეთ გადაადგილება.</w:t>
      </w:r>
    </w:p>
    <w:p>
      <w:pPr>
        <w:numPr>
          <w:ilvl w:val="0"/>
          <w:numId w:val="1006"/>
        </w:numPr>
        <w:pStyle w:val="Compact"/>
      </w:pPr>
      <w:r>
        <w:t xml:space="preserve">აღრიცხეთ ყოველი გადაადგილება, შენახვა და გამოყენება რეესტრში, დროითა და მოწმით.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ყოველი გადაადგილება რეესტრშია.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დამუშავების ეტაპები დამოწმებული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უფროსი ემბრიოლოგი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რეესტრები სრულდება ყოველი გამეტასა და ემბრიონისთვის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უფროსი ემბრიოლოგი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კლინიკურ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FRT-REG-001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გამეტებისა და ემბრიონების მიკვლევადობის რეესტრი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FRT-SOP-006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გამეტებისა და ემბრიონების აღრევაზე რეაგირება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აღრევა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ESHRE-ს გადამუშავებულ სახელმძღვანელოზე IVF ლაბორატორიების კარგი პრაქტიკისთვის (2015).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6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ნაყოფიერება და IVF აკრედიტაციის ტრენინგი</w:t>
        </w:r>
      </w:hyperlink>
      <w:r>
        <w:t xml:space="preserve"> </w:t>
      </w:r>
      <w:r>
        <w:t xml:space="preserve">(AMB-13)</w:t>
      </w:r>
    </w:p>
    <w:p>
      <w:pPr>
        <w:numPr>
          <w:ilvl w:val="0"/>
          <w:numId w:val="1010"/>
        </w:numPr>
        <w:pStyle w:val="Compact"/>
      </w:pPr>
      <w:hyperlink r:id="rId45">
        <w:r>
          <w:rPr>
            <w:rStyle w:val="Hyperlink"/>
          </w:rPr>
          <w:t xml:space="preserve">აღჭურვილობა, რეაგენტები და მიკვლევადობა</w:t>
        </w:r>
      </w:hyperlink>
      <w:r>
        <w:t xml:space="preserve"> </w:t>
      </w:r>
      <w:r>
        <w:t xml:space="preserve">(LAB-04)</w:t>
      </w:r>
    </w:p>
    <w:bookmarkEnd w:id="46"/>
    <w:bookmarkStart w:id="49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7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frt-reg-001/" TargetMode="External" /><Relationship Type="http://schemas.openxmlformats.org/officeDocument/2006/relationships/hyperlink" Id="rId40" Target="/ka/documents/frt-sop-006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3" TargetMode="External" /><Relationship Type="http://schemas.openxmlformats.org/officeDocument/2006/relationships/hyperlink" Id="rId44" Target="https://academy.gmj.ge/courses/asf-amb-13-en/" TargetMode="External" /><Relationship Type="http://schemas.openxmlformats.org/officeDocument/2006/relationships/hyperlink" Id="rId45" Target="https://academy.gmj.ge/courses/asf-lab-04-en/" TargetMode="External" /><Relationship Type="http://schemas.openxmlformats.org/officeDocument/2006/relationships/hyperlink" Id="rId48" Target="https://france-asf.fr/wp-content/uploads/2026/10/frt-sop-001-form-1.docx" TargetMode="External" /><Relationship Type="http://schemas.openxmlformats.org/officeDocument/2006/relationships/hyperlink" Id="rId47" Target="https://france-asf.fr/wp-content/uploads/2026/10/frt-sop-001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frt-reg-001/" TargetMode="External" /><Relationship Type="http://schemas.openxmlformats.org/officeDocument/2006/relationships/hyperlink" Id="rId40" Target="/ka/documents/frt-sop-006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8/" TargetMode="External" /><Relationship Type="http://schemas.openxmlformats.org/officeDocument/2006/relationships/hyperlink" Id="rId23" Target="/ka/standards/standard-8/#c8-3" TargetMode="External" /><Relationship Type="http://schemas.openxmlformats.org/officeDocument/2006/relationships/hyperlink" Id="rId44" Target="https://academy.gmj.ge/courses/asf-amb-13-en/" TargetMode="External" /><Relationship Type="http://schemas.openxmlformats.org/officeDocument/2006/relationships/hyperlink" Id="rId45" Target="https://academy.gmj.ge/courses/asf-lab-04-en/" TargetMode="External" /><Relationship Type="http://schemas.openxmlformats.org/officeDocument/2006/relationships/hyperlink" Id="rId48" Target="https://france-asf.fr/wp-content/uploads/2026/10/frt-sop-001-form-1.docx" TargetMode="External" /><Relationship Type="http://schemas.openxmlformats.org/officeDocument/2006/relationships/hyperlink" Id="rId47" Target="https://france-asf.fr/wp-content/uploads/2026/10/frt-sop-001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2026-11-07T01:40:29Z</dcterms:created>
  <dcterms:modified xsi:type="dcterms:W3CDTF">2026-11-07T01:40:29Z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