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8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FRT-SOP-003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8.5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ყოველი დონორი სკრინინგდება ინფექციურ დაავადებებსა და გენეტიკურ მდგომარეობებზე საჭიროებისამებრ.</w:t>
      </w:r>
    </w:p>
    <w:p>
      <w:pPr>
        <w:numPr>
          <w:ilvl w:val="0"/>
          <w:numId w:val="1001"/>
        </w:numPr>
        <w:pStyle w:val="Compact"/>
      </w:pPr>
      <w:r>
        <w:t xml:space="preserve">სკრინინგი მეორდება სახელმძღვანელოს მიერ დადგენილად.</w:t>
      </w:r>
    </w:p>
    <w:p>
      <w:pPr>
        <w:numPr>
          <w:ilvl w:val="0"/>
          <w:numId w:val="1001"/>
        </w:numPr>
        <w:pStyle w:val="Compact"/>
      </w:pPr>
      <w:r>
        <w:t xml:space="preserve">შედეგები აღირიცხება ნებისმიერი დონაციის გამოყენებამდე.</w:t>
      </w:r>
    </w:p>
    <w:p>
      <w:pPr>
        <w:numPr>
          <w:ilvl w:val="0"/>
          <w:numId w:val="1001"/>
        </w:numPr>
        <w:pStyle w:val="Compact"/>
      </w:pPr>
      <w:r>
        <w:t xml:space="preserve">დადებითი შედეგის მქონე დონორი არ გამოიყენება.</w:t>
      </w:r>
    </w:p>
    <w:p>
      <w:pPr>
        <w:numPr>
          <w:ilvl w:val="0"/>
          <w:numId w:val="1001"/>
        </w:numPr>
        <w:pStyle w:val="Compact"/>
      </w:pPr>
      <w:r>
        <w:t xml:space="preserve">შეაჩერეთ და დაუყოვნებლივ მიმართეთ დახმარებას, თუ: დონაცია გამოიყენება დონორის სკრინინგის შედეგების აღრიცხვამდე.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ინფექციები და გენეტიკური მდგომარეობები არ გადავიდეს პაციენტზე ან ბავშვზე (8.5).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სტაციონარის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დაფარულია დოკუმენტით, ჩამოთვლილი მე-15 პუნქტში</w:t>
            </w:r>
          </w:p>
        </w:tc>
      </w:tr>
    </w:tbl>
    <w:bookmarkEnd w:id="25"/>
    <w:bookmarkStart w:id="26" w:name="ტერმინთა-განმარტებები"/>
    <w:p>
      <w:pPr>
        <w:pStyle w:val="Heading2"/>
      </w:pPr>
      <w:r>
        <w:t xml:space="preserve">3. ტერმინთა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მომენტში პასუხისმგებელია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დონორის ინფექცია ან გენეტიკური მდგომარეობა შეიძლება გადავიდეს პაციენტზე ან ბავშვზე. უსაფრთხო დონაციისთვის საჭიროა სკრინინგი გამოყენებამდე, შედეგების აღრიცხვით.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ფლობს სკრინინგის წესს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კლინიკოსი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დონორის კოორდინატორი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ატარებს სკრინინგს და აღრიცხავს შედეგებს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ექთანი ან მეცნიერი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მოწმდება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შეაჩერეთ და გამოიძახეთ დახმარება, თუ პაციენტი უშუალო რისკის ქვეშაა. არ გადადოთ გადაუდებელი მკურნალობა დოკუმენტაციის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დოკუმენტში დასახელებული ფორმები და აღჭურვილობა ხელმისაწვდომია და აქტუალურია.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სკრინინგი.</w:t>
      </w:r>
    </w:p>
    <w:p>
      <w:pPr>
        <w:numPr>
          <w:ilvl w:val="0"/>
          <w:numId w:val="1004"/>
        </w:numPr>
        <w:pStyle w:val="Compact"/>
      </w:pPr>
      <w:r>
        <w:t xml:space="preserve">დონორი შეამოწმეთ ინფექციებსა და გენეტიკურ მდგომარეობებზე, სახელმძღვანელოს მოთხოვნის მიხედვით (FRT-FRM-003).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ნებისმიერი გამოყენებამდე.</w:t>
      </w:r>
    </w:p>
    <w:p>
      <w:pPr>
        <w:pStyle w:val="BodyText"/>
      </w:pPr>
      <w:r>
        <w:t xml:space="preserve">ნაბიჯი 2. გადაწყვეტა.</w:t>
      </w:r>
    </w:p>
    <w:p>
      <w:pPr>
        <w:numPr>
          <w:ilvl w:val="0"/>
          <w:numId w:val="1005"/>
        </w:numPr>
        <w:pStyle w:val="Compact"/>
      </w:pPr>
      <w:r>
        <w:t xml:space="preserve">არ გამოიყენოთ დონაცია დონორისგან, რომელსაც დადებითი ან არასრული შედეგი აქვს.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დადებითი ნიშნავს: არ გამოიყენება.</w:t>
      </w:r>
    </w:p>
    <w:p>
      <w:pPr>
        <w:pStyle w:val="BodyText"/>
      </w:pPr>
      <w:r>
        <w:t xml:space="preserve">ნაბიჯი 3. ჩაწერა.</w:t>
      </w:r>
    </w:p>
    <w:p>
      <w:pPr>
        <w:numPr>
          <w:ilvl w:val="0"/>
          <w:numId w:val="1006"/>
        </w:numPr>
        <w:pStyle w:val="Compact"/>
      </w:pPr>
      <w:r>
        <w:t xml:space="preserve">აღრიცხეთ ყოველი შედეგი და თარიღი, სანამ ის მოქმედებს.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მოქმედებს თარიღამდე.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ნაბიჯებს. გამოიყენეთ სამორიგეო საკონტაქტო ინფორმაცია, რომელიც არის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გადაეცემა მოვალეობის მქონე კლინიკურ ხელმძღვანელს, ხოლო იმავე დღეს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დონაციები გამოყენებული სკრინინგის აღრიცხვით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აღმასრულებელ დირექტორთან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ტრენინგდება დასაქმებისას და ყოველ წელს განახლდება, ჩაწერილი კომპეტენციის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FRT-FRM-003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დონორის სკრინინგის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ESHRE-ს სახელმძღვანელოზე და WHO-ს სახელმძღვანელოზე დონორული სისხლის ინფექციებზე სკრინინგის შესახებ (2010).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ექსპერტთა კომიტეტის დამტკიცება</w:t>
            </w:r>
          </w:p>
        </w:tc>
      </w:tr>
    </w:tbl>
    <w:bookmarkEnd w:id="42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3">
        <w:r>
          <w:rPr>
            <w:rStyle w:val="Hyperlink"/>
          </w:rPr>
          <w:t xml:space="preserve">ნაყოფიერება და IVF აკრედიტაციის ტრენინგი</w:t>
        </w:r>
      </w:hyperlink>
      <w:r>
        <w:t xml:space="preserve"> </w:t>
      </w:r>
      <w:r>
        <w:t xml:space="preserve">(AMB-13)</w:t>
      </w:r>
    </w:p>
    <w:p>
      <w:pPr>
        <w:numPr>
          <w:ilvl w:val="0"/>
          <w:numId w:val="1010"/>
        </w:numPr>
        <w:pStyle w:val="Compact"/>
      </w:pPr>
      <w:r>
        <w:t xml:space="preserve">ბიოუსაფრთხოება, PPE, დაღვრა, ბასრი ნივთები, ნარჩენები, ხანძარი და წვდომა</w:t>
      </w:r>
      <w:r>
        <w:t xml:space="preserve"> </w:t>
      </w:r>
      <w:r>
        <w:t xml:space="preserve">(L-09)</w:t>
      </w:r>
    </w:p>
    <w:bookmarkEnd w:id="44"/>
    <w:bookmarkStart w:id="47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პოლიტიკის ჩარჩო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5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hyperlink r:id="rId46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ka/documents/frt-frm-003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8/" TargetMode="External" /><Relationship Type="http://schemas.openxmlformats.org/officeDocument/2006/relationships/hyperlink" Id="rId23" Target="/ka/standards/standard-8/#c8-5" TargetMode="External" /><Relationship Type="http://schemas.openxmlformats.org/officeDocument/2006/relationships/hyperlink" Id="rId43" Target="https://academy.gmj.ge/courses/asf-amb-13-en/" TargetMode="External" /><Relationship Type="http://schemas.openxmlformats.org/officeDocument/2006/relationships/hyperlink" Id="rId46" Target="https://france-asf.fr/wp-content/uploads/2026/10/frt-sop-003-form-1.docx" TargetMode="External" /><Relationship Type="http://schemas.openxmlformats.org/officeDocument/2006/relationships/hyperlink" Id="rId45" Target="https://france-asf.fr/wp-content/uploads/2026/10/frt-sop-003-form-a4-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ka/documents/frt-frm-003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8/" TargetMode="External" /><Relationship Type="http://schemas.openxmlformats.org/officeDocument/2006/relationships/hyperlink" Id="rId23" Target="/ka/standards/standard-8/#c8-5" TargetMode="External" /><Relationship Type="http://schemas.openxmlformats.org/officeDocument/2006/relationships/hyperlink" Id="rId43" Target="https://academy.gmj.ge/courses/asf-amb-13-en/" TargetMode="External" /><Relationship Type="http://schemas.openxmlformats.org/officeDocument/2006/relationships/hyperlink" Id="rId46" Target="https://france-asf.fr/wp-content/uploads/2026/10/frt-sop-003-form-1.docx" TargetMode="External" /><Relationship Type="http://schemas.openxmlformats.org/officeDocument/2006/relationships/hyperlink" Id="rId45" Target="https://france-asf.fr/wp-content/uploads/2026/10/frt-sop-003-form-a4-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2026-11-07T01:40:18Z</dcterms:created>
  <dcterms:modified xsi:type="dcterms:W3CDTF">2026-11-07T01:40:18Z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