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8e34baa74581d5cc730c9ff4fa6464ec2b33d98"/>
    <w:p>
      <w:pPr>
        <w:pStyle w:val="Heading1"/>
      </w:pPr>
      <w:r>
        <w:t xml:space="preserve">FRT-SOP-007: ქსოვილებისა და ორგანოების მფლობელობის ჯაჭვი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FRT-SOP-007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8.11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ქსოვილსა თუ ორგანოს აქვს დოკუმენტირებული მფლობელობის ჯაჭვი დონორიდან რეციპიენტამდე.</w:t>
      </w:r>
    </w:p>
    <w:p>
      <w:pPr>
        <w:numPr>
          <w:ilvl w:val="0"/>
          <w:numId w:val="1001"/>
        </w:numPr>
        <w:pStyle w:val="Compact"/>
      </w:pPr>
      <w:r>
        <w:t xml:space="preserve">ყოველი დამუშავების, ტესტირებისა და ტრანსპორტირების ეტაპი ხელმოწერილია.</w:t>
      </w:r>
    </w:p>
    <w:p>
      <w:pPr>
        <w:numPr>
          <w:ilvl w:val="0"/>
          <w:numId w:val="1001"/>
        </w:numPr>
        <w:pStyle w:val="Compact"/>
      </w:pPr>
      <w:r>
        <w:t xml:space="preserve">ჩანაწერში არც ერთ მომენტში არ არის ხარვეზი.</w:t>
      </w:r>
    </w:p>
    <w:p>
      <w:pPr>
        <w:numPr>
          <w:ilvl w:val="0"/>
          <w:numId w:val="1001"/>
        </w:numPr>
        <w:pStyle w:val="Compact"/>
      </w:pPr>
      <w:r>
        <w:t xml:space="preserve">ხარვეზი აჩერებს გამოყენებას, სანამ ის არ გადაიჭრება.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ქსოვილი ან ორგანო გამოიყენება ან გადაადგილდება მფლობელობის ჯაჭვში ხარვეზით.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ყოველი ქსოვილისა და ორგანოს კვალის დადგენა დონორიდან რეციპიენტამდე ხარვეზის გარეშე (8.11).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ორგანო ან ქსოვილი დონორიდან რეციპიენტამდე უნდა იყოს კვალადი, დამუშავების, ტესტირებისა და ტრანსპორტირების ყველა ეტაპზე. მფლობელობის ჯაჭვის გარეშე არასაიმედო დონაცია ვერ იპოვება და ვერ შეჩერდება.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მფლობელობის ჯაჭვს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ინახავს ჩანაწერს ყოველ ეტაპზე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კოორდინატორი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ჯაჭვის დაწყება.</w:t>
      </w:r>
    </w:p>
    <w:p>
      <w:pPr>
        <w:numPr>
          <w:ilvl w:val="0"/>
          <w:numId w:val="1004"/>
        </w:numPr>
        <w:pStyle w:val="Compact"/>
      </w:pPr>
      <w:r>
        <w:t xml:space="preserve">აღებისას აღნუსხეთ დონორი და ქსოვილის ან ორგანოს იდენტობა (FRT-FRM-005).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ჯაჭვი იწყება დონაციით.</w:t>
      </w:r>
    </w:p>
    <w:p>
      <w:pPr>
        <w:pStyle w:val="BodyText"/>
      </w:pPr>
      <w:r>
        <w:t xml:space="preserve">ეტაპი 2. ყოველი ეტაპის ხელმოწერა.</w:t>
      </w:r>
    </w:p>
    <w:p>
      <w:pPr>
        <w:numPr>
          <w:ilvl w:val="0"/>
          <w:numId w:val="1005"/>
        </w:numPr>
        <w:pStyle w:val="Compact"/>
      </w:pPr>
      <w:r>
        <w:t xml:space="preserve">ყოველი დამუშავების, ტესტირებისა და ტრანსპორტირების ეტაპი მოაწერეთ ხელი დროითა და მდგომარეობით.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ხელმოწერის გარეშე ეტაპი არ არის.</w:t>
      </w:r>
    </w:p>
    <w:p>
      <w:pPr>
        <w:pStyle w:val="BodyText"/>
      </w:pPr>
      <w:r>
        <w:t xml:space="preserve">ეტაპი 3. დახურვა.</w:t>
      </w:r>
    </w:p>
    <w:p>
      <w:pPr>
        <w:numPr>
          <w:ilvl w:val="0"/>
          <w:numId w:val="1006"/>
        </w:numPr>
        <w:pStyle w:val="Compact"/>
      </w:pPr>
      <w:r>
        <w:t xml:space="preserve">ჯაჭვი დახურეთ რეციპიენტთან და შეამოწმეთ, რომ ხარვეზი არ არის.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ბოლოს ხარვეზი არ არის.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ჯაჭვები ხარვეზის გარეშე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მთავარ აღმასრულებელთან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FRT-FRM-005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მფლობელობის ჯაჭვის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Guiding Principles on Human Cell, Tissue and Organ Transplantation-ს (2010).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Supplier Evaluation and Purchasing</w:t>
        </w:r>
      </w:hyperlink>
      <w:r>
        <w:t xml:space="preserve"> </w:t>
      </w:r>
      <w:r>
        <w:t xml:space="preserve">(T-13)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Equipment, Reagents &amp; Traceability</w:t>
        </w:r>
      </w:hyperlink>
      <w:r>
        <w:t xml:space="preserve"> </w:t>
      </w:r>
      <w:r>
        <w:t xml:space="preserve">(LAB-04)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frt-frm-005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8/" TargetMode="External"/><Relationship Id="rId23" Type="http://schemas.openxmlformats.org/officeDocument/2006/relationships/hyperlink" Target="/ka/standards/standard-8/#c8-11" TargetMode="External"/><Relationship Id="rId44" Type="http://schemas.openxmlformats.org/officeDocument/2006/relationships/hyperlink" Target="https://academy.gmj.ge/courses/asf-lab-04-en/" TargetMode="External"/><Relationship Id="rId43" Type="http://schemas.openxmlformats.org/officeDocument/2006/relationships/hyperlink" Target="https://academy.gmj.ge/courses/asf-t-13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frt-frm-005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8/" TargetMode="External"/><Relationship Id="rId23" Type="http://schemas.openxmlformats.org/officeDocument/2006/relationships/hyperlink" Target="/ka/standards/standard-8/#c8-11" TargetMode="External"/><Relationship Id="rId44" Type="http://schemas.openxmlformats.org/officeDocument/2006/relationships/hyperlink" Target="https://academy.gmj.ge/courses/asf-lab-04-en/" TargetMode="External"/><Relationship Id="rId43" Type="http://schemas.openxmlformats.org/officeDocument/2006/relationships/hyperlink" Target="https://academy.gmj.ge/courses/asf-t-13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2026-11-07T01:35:58Z</dcterms:created>
  <dcterms:modified xsi:type="dcterms:W3CDTF">2026-11-07T01:35:58Z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