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0ec700e6ecda8ae1900fe25d98574610335eb2"/>
    <w:p>
      <w:pPr>
        <w:pStyle w:val="Heading1"/>
      </w:pPr>
      <w:r>
        <w:t xml:space="preserve">FW-FRM-003: ფუნქციური შეფასებისა და პროგრამის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FW-FRM-003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30.4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წევრის ტრავმის ან მდგომარეობის ფუნქციურ შეფასებას და პროგრამის პროგრესირებას, რომელიც მზაობას შეესაბამება.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ჩაატარეთ და აღნუსხეთ ტრავმის ფუნქციური შეფასება.</w:t>
      </w:r>
    </w:p>
    <w:p>
      <w:pPr>
        <w:numPr>
          <w:ilvl w:val="0"/>
          <w:numId w:val="1001"/>
        </w:numPr>
        <w:pStyle w:val="Compact"/>
      </w:pPr>
      <w:r>
        <w:t xml:space="preserve">განსაზღვრეთ პროგრამა და მისი პროგრესირების ეტაპები.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პროგრესირების გადაწყვეტილება და მისი მზაობის საფუძველი.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ფუნქციური შეფასება (თარიღი, მეთოდი)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პროგრამა და ეტაპები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პროგრესირების გადაწყვეტილება და მზაობის საფუძველი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ინსტრუქტორი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რეკომენდაციებს ციფრული ჯანმრთელობისა და მონაცემთა დაცვის შესახებ, American College of Sports Medicine-ის Guidelines for Exercise Testing and Prescription-ს (მე-11 გამოცემა, 2021) და American Heart Association-ის სახელმძღვანელოებს კარდიოპულმონალური რესუსციტაციისა და გულ-სისხლძარღვთა გადაუდებელი მოვლის შესახებ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0/" TargetMode="External"/><Relationship Id="rId23" Type="http://schemas.openxmlformats.org/officeDocument/2006/relationships/hyperlink" Target="/ka/standards/standard-30/#c30-4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0/" TargetMode="External"/><Relationship Id="rId23" Type="http://schemas.openxmlformats.org/officeDocument/2006/relationships/hyperlink" Target="/ka/standards/standard-30/#c30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2026-11-07T01:16:30Z</dcterms:created>
  <dcterms:modified xsi:type="dcterms:W3CDTF">2026-11-07T01:16:30Z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