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FW-REG-003: დეფიბრილატორის შემოწმებისა და წვრთნის რეგისტრი</w:t>
      </w:r>
      <w:r/>
      <w:r/>
      <w:r/>
      <w:r/>
      <w:r/>
      <w:r/>
      <w:r/>
      <w:r/>
      <w:r/>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ორგანიზაციის სახელი</w:t>
            </w:r>
          </w:p>
          <w:p>
            <w:pPr>
              <w:pStyle w:val="Compact"/>
              <w:jc w:val="left"/>
            </w:pPr>
            <w:r>
              <w:t>ობიექტი ან განყოფილება</w:t>
            </w:r>
          </w:p>
        </w:tc>
        <w:tc>
          <w:tcPr>
            <w:gridSpan w:val="2"/>
          </w:tcPr>
          <w:p>
            <w:pPr>
              <w:pStyle w:val="Compact"/>
              <w:jc w:val="left"/>
            </w:pPr>
            <w:r>
              <w:t>რეგისტრი</w:t>
            </w:r>
          </w:p>
          <w:p>
            <w:pPr>
              <w:pStyle w:val="Compact"/>
              <w:jc w:val="left"/>
            </w:pPr>
            <w:r>
              <w:t>დეფიბრილატორის შემოწმებისა და წვრთნის რეგისტრი</w:t>
            </w:r>
          </w:p>
        </w:tc>
        <w:tc>
          <w:tcPr/>
          <w:p>
            <w:pPr>
              <w:pStyle w:val="Compact"/>
            </w:pPr>
          </w:p>
        </w:tc>
      </w:tr>
      <w:tr>
        <w:tc>
          <w:tcPr/>
          <w:p>
            <w:pPr>
              <w:pStyle w:val="Compact"/>
              <w:jc w:val="left"/>
            </w:pPr>
            <w:r>
              <w:t>დოკუმენტის ID</w:t>
            </w:r>
          </w:p>
        </w:tc>
        <w:tc>
          <w:tcPr/>
          <w:p>
            <w:pPr>
              <w:pStyle w:val="Compact"/>
              <w:jc w:val="left"/>
            </w:pPr>
            <w:r>
              <w:t>FW-REG-003</w:t>
            </w:r>
          </w:p>
        </w:tc>
        <w:tc>
          <w:tcPr/>
          <w:p>
            <w:pPr>
              <w:pStyle w:val="Compact"/>
              <w:jc w:val="left"/>
            </w:pPr>
            <w:r>
              <w:t>ვერსია</w:t>
            </w:r>
          </w:p>
        </w:tc>
        <w:tc>
          <w:tcPr/>
          <w:p>
            <w:pPr>
              <w:pStyle w:val="Compact"/>
              <w:jc w:val="left"/>
            </w:pPr>
            <w:r>
              <w:t>1.0</w:t>
            </w:r>
          </w:p>
        </w:tc>
      </w:tr>
      <w:tr>
        <w:tc>
          <w:tcPr/>
          <w:p>
            <w:pPr>
              <w:pStyle w:val="Compact"/>
              <w:jc w:val="left"/>
            </w:pPr>
            <w:r>
              <w:t>სტატუსი</w:t>
            </w:r>
          </w:p>
        </w:tc>
        <w:tc>
          <w:tcPr/>
          <w:p>
            <w:pPr>
              <w:pStyle w:val="Compact"/>
              <w:jc w:val="left"/>
            </w:pPr>
            <w:r>
              <w:t>ცარიელი ფორმა, მოსარგებად</w:t>
            </w:r>
          </w:p>
        </w:tc>
        <w:tc>
          <w:tcPr/>
          <w:p>
            <w:pPr>
              <w:pStyle w:val="Compact"/>
              <w:jc w:val="left"/>
            </w:pPr>
            <w:r>
              <w:t>გამოშვების თარიღი</w:t>
            </w:r>
          </w:p>
        </w:tc>
        <w:tc>
          <w:tcPr/>
          <w:p>
            <w:pPr>
              <w:pStyle w:val="Compact"/>
              <w:jc w:val="left"/>
            </w:pPr>
            <w:r>
              <w:t xml:space="preserve"> </w:t>
            </w:r>
          </w:p>
        </w:tc>
      </w:tr>
      <w:tr>
        <w:tc>
          <w:tcPr/>
          <w:p>
            <w:pPr>
              <w:pStyle w:val="Compact"/>
              <w:jc w:val="left"/>
            </w:pPr>
            <w:r>
              <w:t>გადახედვის თარიღი</w:t>
            </w:r>
          </w:p>
        </w:tc>
        <w:tc>
          <w:tcPr/>
          <w:p>
            <w:pPr>
              <w:pStyle w:val="Compact"/>
              <w:jc w:val="left"/>
            </w:pPr>
            <w:r>
              <w:t xml:space="preserve"> </w:t>
            </w:r>
          </w:p>
        </w:tc>
        <w:tc>
          <w:tcPr/>
          <w:p>
            <w:pPr>
              <w:pStyle w:val="Compact"/>
              <w:jc w:val="left"/>
            </w:pPr>
            <w:r>
              <w:t>ანაცვლებს</w:t>
            </w:r>
          </w:p>
        </w:tc>
        <w:tc>
          <w:tcPr/>
          <w:p>
            <w:pPr>
              <w:pStyle w:val="Compact"/>
              <w:jc w:val="left"/>
            </w:pPr>
            <w:r>
              <w:t xml:space="preserve"> </w:t>
            </w:r>
          </w:p>
        </w:tc>
      </w:tr>
      <w:tr>
        <w:tc>
          <w:tcPr/>
          <w:p>
            <w:pPr>
              <w:pStyle w:val="Compact"/>
              <w:jc w:val="left"/>
            </w:pPr>
            <w:r>
              <w:t>პასუხისმგებელი</w:t>
            </w:r>
          </w:p>
        </w:tc>
        <w:tc>
          <w:tcPr/>
          <w:p>
            <w:pPr>
              <w:pStyle w:val="Compact"/>
              <w:jc w:val="left"/>
            </w:pPr>
            <w:r>
              <w:t xml:space="preserve"> </w:t>
            </w:r>
          </w:p>
        </w:tc>
        <w:tc>
          <w:tcPr/>
          <w:p>
            <w:pPr>
              <w:pStyle w:val="Compact"/>
              <w:jc w:val="left"/>
            </w:pPr>
            <w:r>
              <w:t>დაამტკიცა</w:t>
            </w:r>
          </w:p>
        </w:tc>
        <w:tc>
          <w:tcPr/>
          <w:p>
            <w:pPr>
              <w:pStyle w:val="Compact"/>
              <w:jc w:val="left"/>
            </w:pPr>
            <w:r>
              <w:t xml:space="preserve"> </w:t>
            </w:r>
          </w:p>
        </w:tc>
      </w:tr>
      <w:tr>
        <w:tc>
          <w:tcPr/>
          <w:p>
            <w:pPr>
              <w:pStyle w:val="Compact"/>
              <w:jc w:val="left"/>
            </w:pPr>
            <w:r>
              <w:t>ხელმოწერა</w:t>
            </w:r>
          </w:p>
        </w:tc>
        <w:tc>
          <w:tcPr>
            <w:gridSpan w:val="3"/>
          </w:tcPr>
          <w:p>
            <w:pPr>
              <w:pStyle w:val="Compact"/>
              <w:jc w:val="left"/>
            </w:pPr>
            <w:r>
              <w:t xml:space="preserve"> </w:t>
            </w:r>
          </w:p>
        </w:tc>
      </w:tr>
    </w:tbl>
    <w:p>
      <w:pPr>
        <w:pStyle w:val="BodyText"/>
      </w:pPr>
      <w:hyperlink r:id="rId20">
        <w:r>
          <w:rPr>
            <w:rStyle w:val="Hyperlink"/>
          </w:rPr>
          <w:t xml:space="preserve">Standards</w:t>
        </w:r>
      </w:hyperlink>
      <w:r>
        <w:t xml:space="preserve"> ›  › </w:t>
      </w:r>
      <w:r/>
      <w:r/>
      <w:hyperlink r:id="rId21">
        <w:r>
          <w:rPr>
            <w:rStyle w:val="Hyperlink"/>
          </w:rPr>
          <w:t xml:space="preserve">Standard 30</w:t>
        </w:r>
      </w:hyperlink>
      <w:r/>
      <w:r/>
      <w:r/>
      <w:hyperlink r:id="rId22">
        <w:r>
          <w:rPr>
            <w:rStyle w:val="Hyperlink"/>
          </w:rPr>
          <w:t xml:space="preserve">Registers and logs</w:t>
        </w:r>
      </w:hyperlink>
    </w:p>
    <w:p>
      <w:pPr>
        <w:pStyle w:val="BodyText"/>
      </w:pPr>
      <w:r>
        <w:t>რეგისტრი · FW-REG-003 · ვერსია 1.0 · დამტკიცებულია ASF ექსპერტთა კომიტეტის მიერ</w:t>
      </w:r>
    </w:p>
    <w:p>
      <w:pPr>
        <w:pStyle w:val="BodyText"/>
      </w:pPr>
      <w:r>
        <w:rPr>
          <w:bCs/>
          <w:b/>
        </w:rPr>
        <w:t xml:space="preserve">მხარს უჭერს: </w:t>
      </w:r>
      <w:r/>
      <w:hyperlink r:id="rId23">
        <w:r>
          <w:rPr>
            <w:rStyle w:val="Hyperlink"/>
          </w:rPr>
          <w:t xml:space="preserve">30.10</w:t>
        </w:r>
      </w:hyperlink>
    </w:p>
    <w:bookmarkStart w:id="24" w:name="purpose"/>
    <w:p>
      <w:pPr>
        <w:pStyle w:val="Heading2"/>
      </w:pPr>
      <w:r>
        <w:t>დანიშნულება</w:t>
      </w:r>
    </w:p>
    <w:p>
      <w:pPr>
        <w:pStyle w:val="FirstParagraph"/>
      </w:pPr>
      <w:r>
        <w:t>ფიქსირებს დეფიბრილატორისა და სასწრაფო აღჭურვილობის ყოველ შემოწმებას და რეაგირების ყოველ წვრთნას.</w:t>
      </w:r>
    </w:p>
    <w:bookmarkEnd w:id="24"/>
    <w:bookmarkStart w:id="25" w:name="how-to-complete"/>
    <w:p>
      <w:pPr>
        <w:pStyle w:val="Heading2"/>
      </w:pPr>
      <w:r>
        <w:t>როგორ შევავსოთ</w:t>
      </w:r>
    </w:p>
    <w:p>
      <w:pPr>
        <w:numPr>
          <w:ilvl w:val="0"/>
          <w:numId w:val="1001"/>
        </w:numPr>
        <w:pStyle w:val="Compact"/>
      </w:pPr>
      <w:r>
        <w:t>შეამოწმეთ დეფიბრილატორი და სასწრაფო აღჭურვილობა გრაფიკის მიხედვით.</w:t>
      </w:r>
    </w:p>
    <w:p>
      <w:pPr>
        <w:numPr>
          <w:ilvl w:val="0"/>
          <w:numId w:val="1001"/>
        </w:numPr>
        <w:pStyle w:val="Compact"/>
      </w:pPr>
      <w:r>
        <w:t>ჩაწერეთ ყოველი წვრთნა, თანამშრომელთა დასწრებით.</w:t>
      </w:r>
    </w:p>
    <w:p>
      <w:pPr>
        <w:numPr>
          <w:ilvl w:val="0"/>
          <w:numId w:val="1001"/>
        </w:numPr>
        <w:pStyle w:val="Compact"/>
      </w:pPr>
      <w:r>
        <w:t>ჩაწერეთ ყოველი ხარვეზი და მის მიმართ გატარებული ზომა.</w:t>
      </w:r>
    </w:p>
    <w:bookmarkEnd w:id="25"/>
    <w:bookmarkStart w:id="26" w:name="checks"/>
    <w:p>
      <w:pPr>
        <w:pStyle w:val="Heading2"/>
      </w:pPr>
      <w:r>
        <w:t>შემოწმებები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შემოწმება</w:t>
            </w:r>
          </w:p>
        </w:tc>
        <w:tc>
          <w:tcPr/>
          <w:p>
            <w:pPr>
              <w:pStyle w:val="Compact"/>
              <w:jc w:val="left"/>
            </w:pPr>
            <w:r>
              <w:t>ჩანაწერი</w:t>
            </w:r>
          </w:p>
        </w:tc>
      </w:tr>
      <w:tr>
        <w:tc>
          <w:tcPr/>
          <w:p>
            <w:pPr>
              <w:pStyle w:val="Compact"/>
              <w:jc w:val="left"/>
            </w:pPr>
            <w:r>
              <w:t>დეფიბრილატორის შემოწმება (თარიღი, ვარგისია თუ დეფექტი)</w:t>
            </w:r>
          </w:p>
        </w:tc>
        <w:tc>
          <w:tcPr/>
          <w:p>
            <w:pPr>
              <w:pStyle w:val="Compact"/>
              <w:jc w:val="left"/>
            </w:pPr>
            <w:r>
              <w:t>დიახ</w:t>
            </w:r>
          </w:p>
        </w:tc>
      </w:tr>
      <w:tr>
        <w:tc>
          <w:tcPr/>
          <w:p>
            <w:pPr>
              <w:pStyle w:val="Compact"/>
              <w:jc w:val="left"/>
            </w:pPr>
            <w:r>
              <w:t>სასწრაფო აღჭურვილობის შემოწმება (თარიღი)</w:t>
            </w:r>
          </w:p>
        </w:tc>
        <w:tc>
          <w:tcPr/>
          <w:p>
            <w:pPr>
              <w:pStyle w:val="Compact"/>
              <w:jc w:val="left"/>
            </w:pPr>
            <w:r>
              <w:t>დიახ</w:t>
            </w:r>
          </w:p>
        </w:tc>
      </w:tr>
      <w:tr>
        <w:tc>
          <w:tcPr/>
          <w:p>
            <w:pPr>
              <w:pStyle w:val="Compact"/>
              <w:jc w:val="left"/>
            </w:pPr>
            <w:r>
              <w:t>წვრთნა (თარიღი, დასწრებული თანამშრომლები)</w:t>
            </w:r>
          </w:p>
        </w:tc>
        <w:tc>
          <w:tcPr/>
          <w:p>
            <w:pPr>
              <w:pStyle w:val="Compact"/>
              <w:jc w:val="left"/>
            </w:pPr>
            <w:r>
              <w:t>დიახ</w:t>
            </w:r>
          </w:p>
        </w:tc>
      </w:tr>
      <w:tr>
        <w:tc>
          <w:tcPr/>
          <w:p>
            <w:pPr>
              <w:pStyle w:val="Compact"/>
              <w:jc w:val="left"/>
            </w:pPr>
            <w:r>
              <w:t>ხარვეზი და ზომა</w:t>
            </w:r>
          </w:p>
        </w:tc>
        <w:tc>
          <w:tcPr/>
          <w:p>
            <w:pPr>
              <w:pStyle w:val="Compact"/>
              <w:jc w:val="left"/>
            </w:pPr>
            <w:r>
              <w:t>დიახ</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6"/>
    <w:bookmarkStart w:id="27" w:name="evidence"/>
    <w:p>
      <w:pPr>
        <w:pStyle w:val="Heading2"/>
      </w:pPr>
      <w:r>
        <w:t>მტკიცებულებები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მითითება</w:t>
            </w:r>
          </w:p>
        </w:tc>
        <w:tc>
          <w:tcPr/>
          <w:p>
            <w:pPr>
              <w:pStyle w:val="Compact"/>
              <w:jc w:val="left"/>
            </w:pPr>
            <w:r>
              <w:t>შენიშვნა</w:t>
            </w:r>
          </w:p>
        </w:tc>
      </w:tr>
      <w:tr>
        <w:tc>
          <w:tcPr/>
          <w:p>
            <w:pPr>
              <w:pStyle w:val="Compact"/>
              <w:jc w:val="left"/>
            </w:pPr>
            <w:r>
              <w:t>E-009</w:t>
            </w:r>
          </w:p>
        </w:tc>
        <w:tc>
          <w:tcPr/>
          <w:p>
            <w:pPr>
              <w:pStyle w:val="Compact"/>
              <w:jc w:val="left"/>
            </w:pPr>
            <w:r>
              <w:t>Based on the WHO guidance on digital health and data protection, the American College of Sports Medicine Guidelines for Exercise Testing and Prescription (11th ed., 2021), and the American Heart Association guidelines for cardiopulmonary resuscitation and emergency cardiovascular care (2020).</w:t>
            </w:r>
          </w:p>
        </w:tc>
      </w:tr>
      <w:tr>
        <w:tc>
          <w:tcPr/>
          <w:p>
            <w:pPr>
              <w:pStyle w:val="Compact"/>
              <w:jc w:val="left"/>
            </w:pPr>
            <w:r>
              <w:t>E-006</w:t>
            </w:r>
          </w:p>
        </w:tc>
        <w:tc>
          <w:tcPr/>
          <w:p>
            <w:pPr>
              <w:pStyle w:val="Compact"/>
              <w:jc w:val="left"/>
            </w:pPr>
            <w:r>
              <w:t>ASF Policy Framework v1.2. ადაპტირებულია.</w:t>
            </w:r>
          </w:p>
        </w:tc>
      </w:tr>
      <w:tr>
        <w:tc>
          <w:tcPr/>
          <w:p>
            <w:pPr>
              <w:pStyle w:val="Compact"/>
              <w:jc w:val="left"/>
            </w:pPr>
            <w:r>
              <w:t>E-009</w:t>
            </w:r>
          </w:p>
        </w:tc>
        <w:tc>
          <w:tcPr/>
          <w:p>
            <w:pPr>
              <w:pStyle w:val="Compact"/>
              <w:jc w:val="left"/>
            </w:pPr>
            <w:r>
              <w:t>ASF ექსპერტთა კომიტეტის კონსენსუსი.</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7"/>
    <w:bookmarkStart w:id="28" w:name="change-history"/>
    <w:p>
      <w:pPr>
        <w:pStyle w:val="Heading2"/>
      </w:pPr>
      <w:r>
        <w:t>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ვერსია</w:t>
            </w:r>
          </w:p>
        </w:tc>
        <w:tc>
          <w:tcPr/>
          <w:p>
            <w:pPr>
              <w:pStyle w:val="Compact"/>
              <w:jc w:val="left"/>
            </w:pPr>
            <w:r>
              <w:t>თარიღი</w:t>
            </w:r>
          </w:p>
        </w:tc>
        <w:tc>
          <w:tcPr/>
          <w:p>
            <w:pPr>
              <w:pStyle w:val="Compact"/>
              <w:jc w:val="left"/>
            </w:pPr>
            <w:r>
              <w:t>რა შეიცვალა</w:t>
            </w:r>
          </w:p>
        </w:tc>
        <w:tc>
          <w:tcPr/>
          <w:p>
            <w:pPr>
              <w:pStyle w:val="Compact"/>
              <w:jc w:val="left"/>
            </w:pPr>
            <w:r>
              <w:t>დამტკიცება</w:t>
            </w:r>
          </w:p>
        </w:tc>
      </w:tr>
      <w:tr>
        <w:tc>
          <w:tcPr/>
          <w:p>
            <w:pPr>
              <w:pStyle w:val="Compact"/>
              <w:jc w:val="left"/>
            </w:pPr>
            <w:r>
              <w:t>1.0</w:t>
            </w:r>
          </w:p>
        </w:tc>
        <w:tc>
          <w:tcPr/>
          <w:p>
            <w:pPr>
              <w:pStyle w:val="Compact"/>
              <w:jc w:val="left"/>
            </w:pPr>
            <w:r>
              <w:t>დამტკიცების თარიღი</w:t>
            </w:r>
          </w:p>
        </w:tc>
        <w:tc>
          <w:tcPr/>
          <w:p>
            <w:pPr>
              <w:pStyle w:val="Compact"/>
              <w:jc w:val="left"/>
            </w:pPr>
            <w:r>
              <w:t>პირველი ვერსია</w:t>
            </w:r>
          </w:p>
        </w:tc>
        <w:tc>
          <w:tcPr/>
          <w:p>
            <w:pPr>
              <w:pStyle w:val="Compact"/>
              <w:jc w:val="left"/>
            </w:pPr>
            <w:r>
              <w:t>დამტკიცებულია ექსპერტთა კომიტეტის მიერ</w:t>
            </w: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bl>
    <w:bookmarkEnd w:id="28"/>
    <w:bookmarkStart w:id="30" w:name="references"/>
    <w:p>
      <w:pPr>
        <w:pStyle w:val="Heading2"/>
      </w:pPr>
      <w:r>
        <w:t>წყაროები</w:t>
      </w:r>
    </w:p>
    <w:p>
      <w:pPr>
        <w:numPr>
          <w:ilvl w:val="0"/>
          <w:numId w:val="1002"/>
        </w:numPr>
        <w:pStyle w:val="Compact"/>
      </w:pPr>
      <w:r>
        <w:t>Accréditation Sans Frontières (2026). ASF Policy Framework v1.2. (E-006)</w:t>
      </w:r>
      <w:r/>
      <w:r/>
    </w:p>
    <w:p>
      <w:pPr>
        <w:numPr>
          <w:ilvl w:val="0"/>
          <w:numId w:val="1002"/>
        </w:numPr>
        <w:pStyle w:val="Compact"/>
      </w:pPr>
      <w:r>
        <w:t>Accréditation Sans Frontières (2026). ASF Expert Committee consensus on Standard 1. (E-009)</w:t>
      </w:r>
      <w:r/>
      <w:r/>
    </w:p>
    <w:p>
      <w:pPr>
        <w:pStyle w:val="FirstParagraph"/>
      </w:pPr>
      <w:hyperlink r:id="rId29">
        <w:r>
          <w:rPr>
            <w:rStyle w:val="Hyperlink"/>
          </w:rPr>
          <w:t xml:space="preserve">Download this document as PDF</w:t>
        </w:r>
      </w:hyperlink>
    </w:p>
    <w:bookmarkEnd w:id="30"/>
    <w:sectPr>
      <w:headerReference w:type="default" r:id="rId9"/>
      <w:footerReference w:type="default" r:id="rId10"/>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2" Type="http://schemas.openxmlformats.org/officeDocument/2006/relationships/hyperlink" Target="/resources/registers/" TargetMode="External"/><Relationship Id="rId20" Type="http://schemas.openxmlformats.org/officeDocument/2006/relationships/hyperlink" Target="/standards/" TargetMode="External"/><Relationship Id="rId21" Type="http://schemas.openxmlformats.org/officeDocument/2006/relationships/hyperlink" Target="/standards/standard-30/" TargetMode="External"/><Relationship Id="rId23" Type="http://schemas.openxmlformats.org/officeDocument/2006/relationships/hyperlink" Target="/standards/standard-30/#c30-10" TargetMode="External"/><Relationship Id="rId29" Type="http://schemas.openxmlformats.org/officeDocument/2006/relationships/hyperlink" Target="https://france-asf.fr/wp-content/uploads/2026/10/fw-reg-003.pdf"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22" Type="http://schemas.openxmlformats.org/officeDocument/2006/relationships/hyperlink" Target="/resources/registers/" TargetMode="External"/><Relationship Id="rId20" Type="http://schemas.openxmlformats.org/officeDocument/2006/relationships/hyperlink" Target="/standards/" TargetMode="External"/><Relationship Id="rId21" Type="http://schemas.openxmlformats.org/officeDocument/2006/relationships/hyperlink" Target="/standards/standard-30/" TargetMode="External"/><Relationship Id="rId23" Type="http://schemas.openxmlformats.org/officeDocument/2006/relationships/hyperlink" Target="/standards/standard-30/#c30-10" TargetMode="External"/><Relationship Id="rId29" Type="http://schemas.openxmlformats.org/officeDocument/2006/relationships/hyperlink" Target="https://france-asf.fr/wp-content/uploads/2026/10/fw-reg-0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FW-REG-003: Defibrillator check and rehearsal register</dc:title>
  <dc:creator/>
  <cp:keywords/>
  <dcterms:created xsi:type="dcterms:W3CDTF">2026-10-28T21:33:25Z</dcterms:created>
  <dcterms:modified xsi:type="dcterms:W3CDTF">2026-10-28T21:33:25Z</dcterms:modified>
</cp:coreProperties>
</file>

<file path=docProps/custom.xml><?xml version="1.0" encoding="utf-8"?>
<Properties xmlns="http://schemas.openxmlformats.org/officeDocument/2006/custom-properties" xmlns:vt="http://schemas.openxmlformats.org/officeDocument/2006/docPropsVTypes"/>
</file>