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FW-SOP-001:</w:t>
      </w:r>
      <w:r>
        <w:t xml:space="preserve"> </w:t>
      </w:r>
      <w:r>
        <w:t xml:space="preserve">აქტივობაზე</w:t>
      </w:r>
      <w:r>
        <w:t xml:space="preserve"> </w:t>
      </w:r>
      <w:r>
        <w:t xml:space="preserve">დაბრუნების</w:t>
      </w:r>
      <w:r>
        <w:t xml:space="preserve"> </w:t>
      </w:r>
      <w:r>
        <w:t xml:space="preserve">პროგრამა</w:t>
      </w:r>
      <w:r>
        <w:t xml:space="preserve"> </w:t>
      </w:r>
      <w:r>
        <w:t xml:space="preserve">ტრავმის</w:t>
      </w:r>
      <w:r>
        <w:t xml:space="preserve"> </w:t>
      </w:r>
      <w:r>
        <w:t xml:space="preserve">შემდეგ</w:t>
      </w:r>
    </w:p>
    <w:bookmarkStart w:id="46" w:name="Xe6940fc26eae6d1a4a810b8212670aef966f14d"/>
    <w:p>
      <w:pPr>
        <w:pStyle w:val="Heading1"/>
      </w:pPr>
      <w:r>
        <w:t xml:space="preserve">FW-SOP-001: აქტივობაზე დაბრუნების პროგრამა ტრავმის შემდეგ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30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სტანდარტული საოპერაციო პროცედურები (SOPs)</w:t>
        </w:r>
      </w:hyperlink>
    </w:p>
    <w:p>
      <w:pPr>
        <w:pStyle w:val="BodyText"/>
      </w:pPr>
      <w:r>
        <w:t xml:space="preserve">პროცედურა · FW-SOP-001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hyperlink r:id="rId23">
        <w:r>
          <w:rPr>
            <w:rStyle w:val="Hyperlink"/>
          </w:rPr>
          <w:t xml:space="preserve">30.2</w:t>
        </w:r>
      </w:hyperlink>
    </w:p>
    <w:p>
      <w:pPr>
        <w:pStyle w:val="BodyText"/>
      </w:pPr>
      <w:r>
        <w:t xml:space="preserve">მოკლედ</w:t>
      </w:r>
    </w:p>
    <w:p>
      <w:pPr>
        <w:numPr>
          <w:ilvl w:val="0"/>
          <w:numId w:val="1001"/>
        </w:numPr>
        <w:pStyle w:val="Compact"/>
      </w:pPr>
      <w:r>
        <w:t xml:space="preserve">ტრავმის, ოპერაციის ან სამედიცინო მოვლენის შემდეგ დაბრუნებულ წევრს ჯერ უნდა ჰქონდეს დოკუმენტირებული სამედიცინო დასკვნა (FW-FRM-002).</w:t>
      </w:r>
    </w:p>
    <w:p>
      <w:pPr>
        <w:numPr>
          <w:ilvl w:val="0"/>
          <w:numId w:val="1001"/>
        </w:numPr>
        <w:pStyle w:val="Compact"/>
      </w:pPr>
      <w:r>
        <w:t xml:space="preserve">პროგრამა შედგენილია ფუნქციური შეფასებით (FW-FRM-003) და პროგრესირებს მზაობის ტემპით.</w:t>
      </w:r>
    </w:p>
    <w:p>
      <w:pPr>
        <w:numPr>
          <w:ilvl w:val="0"/>
          <w:numId w:val="1001"/>
        </w:numPr>
        <w:pStyle w:val="Compact"/>
      </w:pPr>
      <w:r>
        <w:t xml:space="preserve">პერსონალს აქვს კვალიფიკაცია ტრავმის შემდგომი პროგრამირებისთვის (FW-REG-001) და ზედამხედველობს ან ახორციელებს მას.</w:t>
      </w:r>
    </w:p>
    <w:p>
      <w:pPr>
        <w:numPr>
          <w:ilvl w:val="0"/>
          <w:numId w:val="1001"/>
        </w:numPr>
        <w:pStyle w:val="Compact"/>
      </w:pPr>
      <w:r>
        <w:t xml:space="preserve">პროგრამა წყდება და წევრი მიემართება უკან, როცა ჩნდება გამაფრთხილებელი ნიშნები (FW-SOP-002).</w:t>
      </w:r>
    </w:p>
    <w:p>
      <w:pPr>
        <w:numPr>
          <w:ilvl w:val="0"/>
          <w:numId w:val="1001"/>
        </w:numPr>
        <w:pStyle w:val="Compact"/>
      </w:pPr>
      <w:r>
        <w:t xml:space="preserve">დაუყოვნებლივ შეაჩერეთ და მიიღეთ დახმარება, თუ: წევრი, რომელსაც მუხლის ოპერაცია ჰქონდა, მომდევნო კვირაში იწყებს მძიმე წონის აწევას.</w:t>
      </w:r>
    </w:p>
    <w:bookmarkStart w:id="24" w:name="მიზანი"/>
    <w:p>
      <w:pPr>
        <w:pStyle w:val="Heading2"/>
      </w:pPr>
      <w:r>
        <w:t xml:space="preserve">1. მიზანი</w:t>
      </w:r>
    </w:p>
    <w:p>
      <w:pPr>
        <w:pStyle w:val="FirstParagraph"/>
      </w:pPr>
      <w:r>
        <w:t xml:space="preserve">იმის უზრუნველსაყოფად, რომ ტრავმის შემდგომი დაბრუნება აქტივობაზე იყოს უსაფრთხო, დასკვნილი, შეფასებული, კვალიფიციური და მონიტორინგირებული (30.2–30.4).</w:t>
      </w:r>
    </w:p>
    <w:bookmarkEnd w:id="24"/>
    <w:bookmarkStart w:id="25" w:name="მოქმედების-სფერო"/>
    <w:p>
      <w:pPr>
        <w:pStyle w:val="Heading2"/>
      </w:pPr>
      <w:r>
        <w:t xml:space="preserve">2. მოქმედების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საავადმყოფოს კლინიკური და დამხმარე პერსონალი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ადგილები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ყველა პალატა, კლინიკა და განყოფილება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როდის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ყოველთვის, როცა აღწერილი საქმიანობა სრულდება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საქმიანობა, რომელიც მოცემულია სხვა დოკუმენტში, ჩამოთვლილში მე-15 განყოფილებაში</w:t>
            </w:r>
          </w:p>
        </w:tc>
      </w:tr>
    </w:tbl>
    <w:bookmarkEnd w:id="25"/>
    <w:bookmarkStart w:id="26" w:name="განმარტებები"/>
    <w:p>
      <w:pPr>
        <w:pStyle w:val="Heading2"/>
      </w:pPr>
      <w:r>
        <w:t xml:space="preserve">3.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კლინიკური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ექიმი ან ექთანი, რომელიც იმ დროს პასუხობს ამ მიმართულებაზე</w:t>
            </w:r>
          </w:p>
        </w:tc>
      </w:tr>
    </w:tbl>
    <w:bookmarkEnd w:id="26"/>
    <w:bookmarkStart w:id="27" w:name="ფონი"/>
    <w:p>
      <w:pPr>
        <w:pStyle w:val="Heading2"/>
      </w:pPr>
      <w:r>
        <w:t xml:space="preserve">4. ფონი</w:t>
      </w:r>
    </w:p>
    <w:p>
      <w:pPr>
        <w:pStyle w:val="FirstParagraph"/>
      </w:pPr>
      <w:r>
        <w:t xml:space="preserve">წევრმა, რომელსაც ოპერაცია ან მძიმე ტრავმა ჰქონდა, მძიმე ვარჯიში არ უნდა დაიწყოს ექიმის დასკვნის გარეშე. ამის გარეშე ვარჯიშმა შეიძლება გამოჯანმრთელება გააუქმოს ან ახალი ტრავმა გამოიწვიოს.</w:t>
      </w:r>
    </w:p>
    <w:bookmarkEnd w:id="27"/>
    <w:bookmarkStart w:id="28" w:name="პასუხისმგებლობები"/>
    <w:p>
      <w:pPr>
        <w:pStyle w:val="Heading2"/>
      </w:pPr>
      <w:r>
        <w:t xml:space="preserve"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ფიტნეს სერვისის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ხელმძღვანელობს აქტივობაზე დაბრუნების წესს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კლინიცისტი ან მენეჯერი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კვალიფიციური რეაბილიტაციის ინსტრუქტორი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ადგენს და ახორციელებს პროგრამას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კლინიცისტი</w:t>
            </w:r>
          </w:p>
        </w:tc>
      </w:tr>
    </w:tbl>
    <w:bookmarkEnd w:id="28"/>
    <w:bookmarkStart w:id="29" w:name="მასალები-და-აღჭურვილობა"/>
    <w:p>
      <w:pPr>
        <w:pStyle w:val="Heading2"/>
      </w:pPr>
      <w:r>
        <w:t xml:space="preserve"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ერთეული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დასახელებული ჩანაწერები და ფორმები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მიმდინარე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მოწმდება გამოყენებამდე</w:t>
            </w:r>
          </w:p>
        </w:tc>
      </w:tr>
    </w:tbl>
    <w:bookmarkEnd w:id="29"/>
    <w:bookmarkStart w:id="30" w:name="უსაფრთხოება"/>
    <w:p>
      <w:pPr>
        <w:pStyle w:val="Heading2"/>
      </w:pPr>
      <w:r>
        <w:t xml:space="preserve">7. უსაფრთხოება</w:t>
      </w:r>
    </w:p>
    <w:p>
      <w:pPr>
        <w:numPr>
          <w:ilvl w:val="0"/>
          <w:numId w:val="1002"/>
        </w:numPr>
        <w:pStyle w:val="Compact"/>
      </w:pPr>
      <w:r>
        <w:t xml:space="preserve">თუ პაციენტს დაუყოვნებლივი რისკი ემუქრება, შეაჩერეთ და მოუხმეთ დახმარებას. არ გადადოთ გადაუდებელი მკურნალობა დოკუმენტაციის შევსებისთვის.</w:t>
      </w:r>
    </w:p>
    <w:bookmarkEnd w:id="30"/>
    <w:bookmarkStart w:id="31" w:name="დაწყებამდე"/>
    <w:p>
      <w:pPr>
        <w:pStyle w:val="Heading2"/>
      </w:pPr>
      <w:r>
        <w:t xml:space="preserve">8. დაწყებამდე</w:t>
      </w:r>
    </w:p>
    <w:p>
      <w:pPr>
        <w:numPr>
          <w:ilvl w:val="0"/>
          <w:numId w:val="1003"/>
        </w:numPr>
        <w:pStyle w:val="Compact"/>
      </w:pPr>
      <w:r>
        <w:t xml:space="preserve">დაადასტურეთ, რომ ამ დოკუმენტში დასახელებული ფორმები და აღჭურვილობა ხელმისაწვდომია და მიმდინარეა.</w:t>
      </w:r>
    </w:p>
    <w:bookmarkEnd w:id="31"/>
    <w:bookmarkStart w:id="32" w:name="პროცედურა"/>
    <w:p>
      <w:pPr>
        <w:pStyle w:val="Heading2"/>
      </w:pPr>
      <w:r>
        <w:t xml:space="preserve">9. პროცედურა</w:t>
      </w:r>
    </w:p>
    <w:p>
      <w:pPr>
        <w:pStyle w:val="FirstParagraph"/>
      </w:pPr>
      <w:r>
        <w:t xml:space="preserve">ნაბიჯი 1. დასკვნა.</w:t>
      </w:r>
    </w:p>
    <w:p>
      <w:pPr>
        <w:numPr>
          <w:ilvl w:val="0"/>
          <w:numId w:val="1004"/>
        </w:numPr>
        <w:pStyle w:val="Compact"/>
      </w:pPr>
      <w:r>
        <w:t xml:space="preserve">მიიღეთ და ჩაწერეთ სამედიცინო დასკვნა და მისი შეზღუდვები FW-FRM-002-ზე.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დასკვნილია.</w:t>
      </w:r>
    </w:p>
    <w:p>
      <w:pPr>
        <w:pStyle w:val="BodyText"/>
      </w:pPr>
      <w:r>
        <w:t xml:space="preserve">ნაბიჯი 2. შეფასება და დაგეგმვა.</w:t>
      </w:r>
    </w:p>
    <w:p>
      <w:pPr>
        <w:numPr>
          <w:ilvl w:val="0"/>
          <w:numId w:val="1005"/>
        </w:numPr>
        <w:pStyle w:val="Compact"/>
      </w:pPr>
      <w:r>
        <w:t xml:space="preserve">ჩაატარეთ ფუნქციური შეფასება და დააყენეთ პროგრესი FW-FRM-003-ზე.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დაგეგმილია.</w:t>
      </w:r>
    </w:p>
    <w:p>
      <w:pPr>
        <w:pStyle w:val="BodyText"/>
      </w:pPr>
      <w:r>
        <w:t xml:space="preserve">ნაბიჯი 3. მიწოდება კვალიფიკაციის ქვეშ.</w:t>
      </w:r>
    </w:p>
    <w:p>
      <w:pPr>
        <w:numPr>
          <w:ilvl w:val="0"/>
          <w:numId w:val="1006"/>
        </w:numPr>
        <w:pStyle w:val="Compact"/>
      </w:pPr>
      <w:r>
        <w:t xml:space="preserve">განახორციელეთ ან ზედამხედველობთ პროგრამას კვალიფიციურ ინსტრუქტორთან ერთად.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განხორციელებულია.</w:t>
      </w:r>
    </w:p>
    <w:bookmarkEnd w:id="32"/>
    <w:bookmarkStart w:id="33" w:name="გადაწყვეტილების-წერტილები"/>
    <w:p>
      <w:pPr>
        <w:pStyle w:val="Heading2"/>
      </w:pPr>
      <w:r>
        <w:t xml:space="preserve">10. გადაწყვეტილების წერტილები</w:t>
      </w:r>
    </w:p>
    <w:p>
      <w:pPr>
        <w:numPr>
          <w:ilvl w:val="0"/>
          <w:numId w:val="1007"/>
        </w:numPr>
        <w:pStyle w:val="Compact"/>
      </w:pPr>
      <w:r>
        <w:t xml:space="preserve">ამ პროცედურაში გადაწყვეტილების წერტილები არ არის.</w:t>
      </w:r>
    </w:p>
    <w:bookmarkEnd w:id="33"/>
    <w:bookmarkStart w:id="34" w:name="განსაკუთრებული-სიტუაციები"/>
    <w:p>
      <w:pPr>
        <w:pStyle w:val="Heading2"/>
      </w:pPr>
      <w:r>
        <w:t xml:space="preserve"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სამუშაო საათების გარეთ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მიჰყევით იგივე ნაბიჯებს. გამოიყენეთ დეჟურის საკონტაქტო ინფორმაცია ამ მიმართულების კედელზე.</w:t>
            </w:r>
          </w:p>
        </w:tc>
      </w:tr>
    </w:tbl>
    <w:bookmarkEnd w:id="34"/>
    <w:bookmarkStart w:id="35" w:name="ესკალაცია"/>
    <w:p>
      <w:pPr>
        <w:pStyle w:val="Heading2"/>
      </w:pPr>
      <w:r>
        <w:t xml:space="preserve">12. ესკალაცია</w:t>
      </w:r>
    </w:p>
    <w:p>
      <w:pPr>
        <w:numPr>
          <w:ilvl w:val="0"/>
          <w:numId w:val="1008"/>
        </w:numPr>
        <w:pStyle w:val="Compact"/>
      </w:pPr>
      <w:r>
        <w:t xml:space="preserve">ყოველი სერიოზული პრობლემა დაუყოვნებლივ გადაეცემა დეჟურ კლინიკურ ხელმძღვანელს, იმავე დღეს კი — კლინიკურ დირექტორს.</w:t>
      </w:r>
    </w:p>
    <w:bookmarkEnd w:id="35"/>
    <w:bookmarkStart w:id="36" w:name="მონიტორინგი"/>
    <w:p>
      <w:pPr>
        <w:pStyle w:val="Heading2"/>
      </w:pPr>
      <w:r>
        <w:t xml:space="preserve"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ზომა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სამიზნე მაჩვენებელი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ტრავმის შემდგომ წევრები დასკვნით, შეფასებითა და კვალიფიციური ზედამხედველობით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ფიტნეს სერვისის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გადაეცით სამედიცინო დირექტორს</w:t>
            </w:r>
          </w:p>
        </w:tc>
      </w:tr>
    </w:tbl>
    <w:bookmarkEnd w:id="36"/>
    <w:bookmarkStart w:id="37" w:name="ჩანაწერები"/>
    <w:p>
      <w:pPr>
        <w:pStyle w:val="Heading2"/>
      </w:pPr>
      <w:r>
        <w:t xml:space="preserve"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ინახება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დასახელებული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პაციენტის ჩანაწერი ან მიმართულების ფაილი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ჩანაწერების პოლიტიკით დადგენილი პერიოდი, წლები</w:t>
            </w:r>
          </w:p>
        </w:tc>
      </w:tr>
    </w:tbl>
    <w:bookmarkEnd w:id="37"/>
    <w:bookmarkStart w:id="38" w:name="სწავლება"/>
    <w:p>
      <w:pPr>
        <w:pStyle w:val="Heading2"/>
      </w:pPr>
      <w:r>
        <w:t xml:space="preserve">15. სწავლება</w:t>
      </w:r>
    </w:p>
    <w:p>
      <w:pPr>
        <w:numPr>
          <w:ilvl w:val="0"/>
          <w:numId w:val="1009"/>
        </w:numPr>
        <w:pStyle w:val="Compact"/>
      </w:pPr>
      <w:r>
        <w:t xml:space="preserve">პერსონალი ამ დოკუმენტში გადამზადდება ჩართვისას და ყოველწლიურად განახლდება ჩაწერილი კომპეტენციის შემოწმებით.</w:t>
      </w:r>
    </w:p>
    <w:bookmarkEnd w:id="38"/>
    <w:bookmarkStart w:id="41" w:name="დაკავშირებული-დოკუმენტები"/>
    <w:p>
      <w:pPr>
        <w:pStyle w:val="Heading2"/>
      </w:pPr>
      <w:r>
        <w:t xml:space="preserve"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9">
              <w:r>
                <w:rPr>
                  <w:rStyle w:val="Hyperlink"/>
                </w:rPr>
                <w:t xml:space="preserve">FW-FRM-002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სამედიცინო დასკვნის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40">
              <w:r>
                <w:rPr>
                  <w:rStyle w:val="Hyperlink"/>
                </w:rPr>
                <w:t xml:space="preserve">FW-FRM-003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ფუნქციური შეფასებისა და პროგრამის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</w:tr>
    </w:tbl>
    <w:bookmarkEnd w:id="41"/>
    <w:bookmarkStart w:id="42" w:name="მტკიცებულებები"/>
    <w:p>
      <w:pPr>
        <w:pStyle w:val="Heading2"/>
      </w:pPr>
      <w:r>
        <w:t xml:space="preserve"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წყარო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დაფუძნებულია WHO-ს სახელმძღვანელოზე ციფრული ჯანმრთელობისა და მონაცემთა დაცვის შესახებ, American College of Sports Medicine-ის სახელმძღვანელოზე ვარჯიშის ტესტირებისა და დანიშვნის შესახებ (მე-11 გამოცემა, 2021) და American Heart Association-ის სახელმძღვანელოზე კარდიოპულმონალური რეანიმაციისა და გადაუდებელი კარდიოვასკულური მოვლის შესახებ (2020).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ადაპტირებული.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</w:tbl>
    <w:bookmarkEnd w:id="42"/>
    <w:bookmarkStart w:id="43" w:name="ცვლილებების-ისტორია"/>
    <w:p>
      <w:pPr>
        <w:pStyle w:val="Heading2"/>
      </w:pPr>
      <w:r>
        <w:t xml:space="preserve"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დამტკიცება</w:t>
            </w:r>
          </w:p>
        </w:tc>
      </w:tr>
    </w:tbl>
    <w:bookmarkEnd w:id="43"/>
    <w:bookmarkStart w:id="44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10"/>
        </w:numPr>
        <w:pStyle w:val="Compact"/>
      </w:pPr>
      <w:r>
        <w:t xml:space="preserve">Rehabilitation and Recovery Programs in Fitness and Wellness</w:t>
      </w:r>
      <w:r>
        <w:t xml:space="preserve"> </w:t>
      </w:r>
      <w:r>
        <w:t xml:space="preserve">(FIT-10)</w:t>
      </w:r>
    </w:p>
    <w:bookmarkEnd w:id="44"/>
    <w:bookmarkStart w:id="45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bookmarkEnd w:id="45"/>
    <w:bookmarkEnd w:id="4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ka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9" Target="/documents/fw-frm-002/" TargetMode="External" /><Relationship Type="http://schemas.openxmlformats.org/officeDocument/2006/relationships/hyperlink" Id="rId40" Target="/documents/fw-frm-003/" TargetMode="External" /><Relationship Type="http://schemas.openxmlformats.org/officeDocument/2006/relationships/hyperlink" Id="rId22" Target="/ka/resources/sop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30/" TargetMode="External" /><Relationship Type="http://schemas.openxmlformats.org/officeDocument/2006/relationships/hyperlink" Id="rId23" Target="/ka/standards/standard-30/#c30-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/documents/fw-frm-002/" TargetMode="External" /><Relationship Type="http://schemas.openxmlformats.org/officeDocument/2006/relationships/hyperlink" Id="rId40" Target="/documents/fw-frm-003/" TargetMode="External" /><Relationship Type="http://schemas.openxmlformats.org/officeDocument/2006/relationships/hyperlink" Id="rId22" Target="/ka/resources/sop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30/" TargetMode="External" /><Relationship Type="http://schemas.openxmlformats.org/officeDocument/2006/relationships/hyperlink" Id="rId23" Target="/ka/standards/standard-30/#c30-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FW-SOP-001: აქტივობაზე დაბრუნების პროგრამა ტრავმის შემდეგ</dc:title>
  <dc:creator/>
  <dc:language>ka</dc:language>
  <cp:keywords/>
  <dcterms:created xsi:type="dcterms:W3CDTF">2026-11-07T01:08:25Z</dcterms:created>
  <dcterms:modified xsi:type="dcterms:W3CDTF">2026-11-07T01:08:25Z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