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GOV-PLN-001: სტრატეგიული გეგმა (შაბლონი და დამტკიცება)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გეგმა</w:t>
            </w:r>
          </w:p>
          <w:p>
            <w:pPr>
              <w:pStyle w:val="Compact"/>
              <w:jc w:val="left"/>
            </w:pPr>
            <w:r>
              <w:t>სტრატეგიული გეგმა (შაბლონი და დამტკიცება)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GOV-PLN-001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Plans and templates</w:t>
        </w:r>
      </w:hyperlink>
    </w:p>
    <w:p>
      <w:pPr>
        <w:pStyle w:val="BodyText"/>
      </w:pPr>
      <w:r>
        <w:t>გეგმა / შაბლონი · GOV-PLN-001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მისია, ღირებულებები და ქცევის კოდექსი ერთ გეგმად დაწერეთ.</w:t>
      </w:r>
    </w:p>
    <w:p>
      <w:pPr>
        <w:numPr>
          <w:ilvl w:val="0"/>
          <w:numId w:val="1001"/>
        </w:numPr>
        <w:pStyle w:val="Compact"/>
      </w:pPr>
      <w:r>
        <w:t>დააყენეთ მიზნები შემდეგი 3-დან 5 წლისთვის, თითოეულს საზომით.</w:t>
      </w:r>
    </w:p>
    <w:p>
      <w:pPr>
        <w:numPr>
          <w:ilvl w:val="0"/>
          <w:numId w:val="1001"/>
        </w:numPr>
        <w:pStyle w:val="Compact"/>
      </w:pPr>
      <w:r>
        <w:t>დააკავშირეთ ბიუჯეტი თითოეულ მიზანთან.</w:t>
      </w:r>
    </w:p>
    <w:p>
      <w:pPr>
        <w:numPr>
          <w:ilvl w:val="0"/>
          <w:numId w:val="1001"/>
        </w:numPr>
        <w:pStyle w:val="Compact"/>
      </w:pPr>
      <w:r>
        <w:t>დაამტკიცეთ გეგმა და აცნობეთ ყველა თანამშრომელს.</w:t>
      </w:r>
    </w:p>
    <w:p>
      <w:pPr>
        <w:numPr>
          <w:ilvl w:val="0"/>
          <w:numId w:val="1001"/>
        </w:numPr>
        <w:pStyle w:val="Compact"/>
      </w:pPr>
      <w:r>
        <w:t>ყოველ წელს გადახედეთ გეგმას ბიუჯეტისა და საზომების მიხედვით.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გეგმას ბიუჯეტთან კავშირი არ აქვს, საზომები არ აქვს, ან თანამშრომლებს მის შესახებ არ აცნობეს.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განსაზღვროს, რისთვის არსებობს დაწესებულება, რას აფასებს, როგორ უნდა მოიქცნენ თანამშრომლები და სად მოხმარდება რესურსები მომავალ წლებში [EC].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მმართველი ორგანო, აღმასრულებელი დირექტორი, ზედა მენეჯერები და ყველა თანამშრომელი, ვინც გეგმავს ან იყენებს რესურსებს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მთელი დაწესებულება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იწერება ყოველ 3-დან 5 წელიწადში; წლიურად გადაიხედება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ცალკეული განყოფილებების ოპერაციული გეგმები, რომლებიც უნდა შეესაბამებოდეს ამ გეგმას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მისია</w:t>
            </w:r>
          </w:p>
        </w:tc>
        <w:tc>
          <w:tcPr/>
          <w:p>
            <w:pPr>
              <w:pStyle w:val="Compact"/>
              <w:jc w:val="left"/>
            </w:pPr>
            <w:r>
              <w:t>რატომ არსებობს დაწესებულება, ერთი-ორი წინადადებით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ღირებულებები</w:t>
            </w:r>
          </w:p>
        </w:tc>
        <w:tc>
          <w:tcPr/>
          <w:p>
            <w:pPr>
              <w:pStyle w:val="Compact"/>
              <w:jc w:val="left"/>
            </w:pPr>
            <w:r>
              <w:t>პრინციპები, რომლებიც წარმართავს გადაწყვეტილებებსა და ქცევას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>შედეგი, რომელსაც დაწესებულება მიაღწევს, საზომით და თარიღით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გეგმა, რომელიც ფულსა და პერსონალის დროს არ უკავშირდება, პლაკატია. გეგმა, რომელიც არ ამბობს, როგორ უნდა მოიქცნენ თანამშრომლები, არ იძლევა სტანდარტს, რომლითაც ადამიანები შეფასდებიან. კრიტერიუმ 2A.2-ს ორივე მოითხოვს და მათ შორის კავშირს.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მმართველი ორგანო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გეგმას; ყოველ წელს ხელახლა იხილავს პროგრესს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მმართველობის სწავლება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წერს ან ხელმძღვანელობს გეგმას; აკავშირებს ბიუჯეტთან; ანგარიშობს პროგრესზე</w:t>
            </w:r>
          </w:p>
        </w:tc>
        <w:tc>
          <w:tcPr/>
          <w:p>
            <w:pPr>
              <w:pStyle w:val="Compact"/>
              <w:jc w:val="left"/>
            </w:pPr>
            <w:r>
              <w:t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ფინანსური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ამზადებს ბიუჯეტს, რომელიც თითოეულ მიზანთან არის დაკავშირებული</w:t>
            </w:r>
          </w:p>
        </w:tc>
        <w:tc>
          <w:tcPr/>
          <w:p>
            <w:pPr>
              <w:pStyle w:val="Compact"/>
              <w:jc w:val="left"/>
            </w:pPr>
            <w:r>
              <w:t>ფინანსური დაგეგმვა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ყველა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გადააწოდეთ გეგმა თავიანთ გუნდებს და აცნობეთ პროგრესი</w:t>
            </w:r>
          </w:p>
        </w:tc>
        <w:tc>
          <w:tcPr/>
          <w:p>
            <w:pPr>
              <w:pStyle w:val="Compact"/>
              <w:jc w:val="left"/>
            </w:pPr>
            <w:r>
              <w:t>მენეჯმენტის სწავლება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გეგმის შაბლონი (ეს დოკუმენტი)</w:t>
            </w:r>
          </w:p>
        </w:tc>
        <w:tc>
          <w:tcPr/>
          <w:p>
            <w:pPr>
              <w:pStyle w:val="Compact"/>
              <w:jc w:val="left"/>
            </w:pPr>
            <w:r>
              <w:t>სტანდარტული სათაურები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ბიუჯეტი (მიზნებთან დაკავშირებული)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თითოეულ მიზანს აქვს ბიუჯეტის ხაზი</w:t>
            </w:r>
          </w:p>
        </w:tc>
        <w:tc>
          <w:tcPr/>
          <w:p>
            <w:pPr>
              <w:pStyle w:val="Compact"/>
              <w:jc w:val="left"/>
            </w:pPr>
            <w:r>
              <w:t>შეესაბამება დამტკიცებულ ბიუჯეტს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გეგმა არ უნდა დაჰპირდეს მომსახურებას ან პერსონალს, რომელსაც დაწესებულება უსაფრთხოდ ვერ უზრუნველყოფს.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შეაგროვეთ მიმდინარე ხარისხის, უსაფრთხოებისა და ფინანსური მონაცემები.</w:t>
      </w:r>
    </w:p>
    <w:p>
      <w:pPr>
        <w:numPr>
          <w:ilvl w:val="0"/>
          <w:numId w:val="1003"/>
        </w:numPr>
        <w:pStyle w:val="Compact"/>
      </w:pPr>
      <w:r>
        <w:t>გაიარეთ კონსულტაცია თანამშრომლებთან, პაციენტებთან და პაციენტთა საბჭოსთან (მუხლი 5).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დაწერეთ მისია და ღირებულებები.</w:t>
      </w:r>
    </w:p>
    <w:p>
      <w:pPr>
        <w:numPr>
          <w:ilvl w:val="0"/>
          <w:numId w:val="1004"/>
        </w:numPr>
        <w:pStyle w:val="Compact"/>
      </w:pPr>
      <w:r>
        <w:t>მისია განსაზღვრეთ ერთი-ორი წინადადებით, მიწოდებულ მომსახურებებთან შესაბამისად (იხილეთ GOV-POL-001 და მომსახურების დეკლარაცია).</w:t>
      </w:r>
    </w:p>
    <w:p>
      <w:pPr>
        <w:numPr>
          <w:ilvl w:val="0"/>
          <w:numId w:val="1004"/>
        </w:numPr>
        <w:pStyle w:val="Compact"/>
      </w:pPr>
      <w:r>
        <w:t>აირჩიეთ სამიდან ხუთამდე ღირებულება და აღწერეთ, რას ნიშნავს თითოეული პრაქტიკაში.</w:t>
      </w:r>
    </w:p>
    <w:p>
      <w:pPr>
        <w:pStyle w:val="FirstParagraph"/>
      </w:pPr>
      <w:r>
        <w:rPr>
          <w:bCs/>
          <w:b/>
        </w:rPr>
        <w:t>მთავარი დებულება: ღირებულებებმა უნდა შეცვალოს ადამიანების ქცევა, წინააღმდეგ შემთხვევაში ისინი მხოლოდ სიტყვებია.</w:t>
      </w:r>
      <w:r/>
      <w:r/>
    </w:p>
    <w:p>
      <w:pPr>
        <w:pStyle w:val="BodyText"/>
      </w:pPr>
      <w:r>
        <w:t>ეტაპი 2. დაწერეთ ქცევის კოდექსი.</w:t>
      </w:r>
    </w:p>
    <w:p>
      <w:pPr>
        <w:numPr>
          <w:ilvl w:val="0"/>
          <w:numId w:val="1005"/>
        </w:numPr>
        <w:pStyle w:val="Compact"/>
      </w:pPr>
      <w:r>
        <w:t>ჩართეთ მოსალოდნელი სტანდარტები გულწრფელობაზე, პატივისცემაზე, უსაფრთხოების შეტყობინებაზე, ინტერესთა კონფლიქტებზე, კონფიდენციალურობასა და გამჟღავნებაზე.</w:t>
      </w:r>
    </w:p>
    <w:p>
      <w:pPr>
        <w:numPr>
          <w:ilvl w:val="0"/>
          <w:numId w:val="1005"/>
        </w:numPr>
        <w:pStyle w:val="Compact"/>
      </w:pPr>
      <w:r>
        <w:t>ბმული ქცევის კოდექსის პოლიტიკაზე (GOV-POL-002).</w:t>
      </w:r>
    </w:p>
    <w:p>
      <w:pPr>
        <w:pStyle w:val="FirstParagraph"/>
      </w:pPr>
      <w:r>
        <w:rPr>
          <w:bCs/>
          <w:b/>
        </w:rPr>
        <w:t>მთავარი დებულება: კოდექსი ეუბნება თანამშრომლებს, რას მოელის დაწესებულება. ის მითითებაა, როცა ქცევა ვერ აკმაყოფილებს მოთხოვნებს.</w:t>
      </w:r>
      <w:r/>
      <w:r/>
    </w:p>
    <w:p>
      <w:pPr>
        <w:pStyle w:val="BodyText"/>
      </w:pPr>
      <w:r>
        <w:t>ეტაპი 3. დააყენეთ მიზნები და საზომები.</w:t>
      </w:r>
    </w:p>
    <w:p>
      <w:pPr>
        <w:numPr>
          <w:ilvl w:val="0"/>
          <w:numId w:val="1006"/>
        </w:numPr>
        <w:pStyle w:val="Compact"/>
      </w:pPr>
      <w:r>
        <w:t>დაწერეთ სამიდან ექვსამდე მიზანი პერიოდისთვის.</w:t>
      </w:r>
    </w:p>
    <w:p>
      <w:pPr>
        <w:numPr>
          <w:ilvl w:val="0"/>
          <w:numId w:val="1006"/>
        </w:numPr>
        <w:pStyle w:val="Compact"/>
      </w:pPr>
      <w:r>
        <w:t>თითოეული მიზნისთვის დააყენეთ ერთი საზომი, სამიზნე და თარიღი.</w:t>
      </w:r>
    </w:p>
    <w:p>
      <w:pPr>
        <w:numPr>
          <w:ilvl w:val="0"/>
          <w:numId w:val="1006"/>
        </w:numPr>
        <w:pStyle w:val="Compact"/>
      </w:pPr>
      <w:r>
        <w:t>სანამ საბოლოოდ დამტკიცდება, გაიარეთ კონსულტაცია თანამშრომლებთან და პაციენტებთან.</w:t>
      </w:r>
    </w:p>
    <w:p>
      <w:pPr>
        <w:pStyle w:val="FirstParagraph"/>
      </w:pPr>
      <w:r>
        <w:rPr>
          <w:bCs/>
          <w:b/>
        </w:rPr>
        <w:t>მთავარი დებულება: საზომის გარეშე მიზანი ვერ შემოწმდება.</w:t>
      </w:r>
      <w:r/>
      <w:r/>
    </w:p>
    <w:p>
      <w:pPr>
        <w:pStyle w:val="BodyText"/>
      </w:pPr>
      <w:r>
        <w:t>ეტაპი 4. დააკავშირეთ ბიუჯეტი მიზნებთან.</w:t>
      </w:r>
    </w:p>
    <w:p>
      <w:pPr>
        <w:numPr>
          <w:ilvl w:val="0"/>
          <w:numId w:val="1007"/>
        </w:numPr>
        <w:pStyle w:val="Compact"/>
      </w:pPr>
      <w:r>
        <w:t>აჩვენეთ, როგორ არის დაფინანსებული თითოეული მიზანი, ბიუჯეტის ხაზით ან პერსონალის დროით.</w:t>
      </w:r>
    </w:p>
    <w:p>
      <w:pPr>
        <w:numPr>
          <w:ilvl w:val="0"/>
          <w:numId w:val="1007"/>
        </w:numPr>
        <w:pStyle w:val="Compact"/>
      </w:pPr>
      <w:r>
        <w:t>თუ მიზანი დაუფინანსებელია, ეს თქვით და აღნიშნეთ გადაწყვეტილება, რომელიც მმართველმა ორგანომ უნდა მიიღოს.</w:t>
      </w:r>
    </w:p>
    <w:p>
      <w:pPr>
        <w:pStyle w:val="FirstParagraph"/>
      </w:pPr>
      <w:r>
        <w:rPr>
          <w:bCs/>
          <w:b/>
        </w:rPr>
        <w:t>მთავარი დებულება: კრიტერიუმ 2A.2-ში ჩავარდნილია, როცა გეგმა და ბიუჯეტი არ ემთხვევა.</w:t>
      </w:r>
      <w:r/>
      <w:r/>
    </w:p>
    <w:p>
      <w:pPr>
        <w:pStyle w:val="BodyText"/>
      </w:pPr>
      <w:r>
        <w:t>ეტაპი 5. დაამტკიცეთ, გამოაქვეყნეთ და აცნობეთ თანამშრომლებს.</w:t>
      </w:r>
    </w:p>
    <w:p>
      <w:pPr>
        <w:numPr>
          <w:ilvl w:val="0"/>
          <w:numId w:val="1008"/>
        </w:numPr>
        <w:pStyle w:val="Compact"/>
      </w:pPr>
      <w:r>
        <w:t>მმართველი ორგანო ამტკიცებს გეგმას და აღრიცხავს გადაწყვეტილებას (GOV-FRM-003).</w:t>
      </w:r>
    </w:p>
    <w:p>
      <w:pPr>
        <w:numPr>
          <w:ilvl w:val="0"/>
          <w:numId w:val="1008"/>
        </w:numPr>
        <w:pStyle w:val="Compact"/>
      </w:pPr>
      <w:r>
        <w:t>ყველა თანამშრომელს 30 დღეში მიეცით შეჯამება და ინდუქციაზე ახსენით ქცევის კოდექსი.</w:t>
      </w:r>
    </w:p>
    <w:p>
      <w:pPr>
        <w:numPr>
          <w:ilvl w:val="0"/>
          <w:numId w:val="1008"/>
        </w:numPr>
        <w:pStyle w:val="Compact"/>
      </w:pPr>
      <w:r>
        <w:t>გამოაქვეყნეთ გეგმა დაწესებულების ვებგვერდზე ან განცხადებების დაფაზე, როგორც გამჭვირვალობის პოლიტიკა მოითხოვს.</w:t>
      </w:r>
    </w:p>
    <w:p>
      <w:pPr>
        <w:pStyle w:val="FirstParagraph"/>
      </w:pPr>
      <w:r>
        <w:rPr>
          <w:bCs/>
          <w:b/>
        </w:rPr>
        <w:t>მთავარი დებულება: გეგმა, რომელსაც არავინ იცნობს, არაფერს არ ცვლის.</w:t>
      </w:r>
      <w:r/>
      <w:r/>
    </w:p>
    <w:p>
      <w:pPr>
        <w:pStyle w:val="BodyText"/>
      </w:pPr>
      <w:r>
        <w:t>ეტაპი 6. ყოველ წელს გადახედეთ.</w:t>
      </w:r>
    </w:p>
    <w:p>
      <w:pPr>
        <w:numPr>
          <w:ilvl w:val="0"/>
          <w:numId w:val="1009"/>
        </w:numPr>
        <w:pStyle w:val="Compact"/>
      </w:pPr>
      <w:r>
        <w:t>ყოველწლიურად მიაწოდეთ მმართველ ორგანოს ანგარიში თითოეული მიზნის პროგრესზე.</w:t>
      </w:r>
    </w:p>
    <w:p>
      <w:pPr>
        <w:numPr>
          <w:ilvl w:val="0"/>
          <w:numId w:val="1009"/>
        </w:numPr>
        <w:pStyle w:val="Compact"/>
      </w:pPr>
      <w:r>
        <w:t>საჭიროებისამებრ მორგეთ მიზნები და ბიუჯეტის ბმული და აღრიცხეთ ცვლილება.</w:t>
      </w:r>
    </w:p>
    <w:p>
      <w:pPr>
        <w:pStyle w:val="FirstParagraph"/>
      </w:pPr>
      <w:r>
        <w:rPr>
          <w:bCs/>
          <w:b/>
        </w:rPr>
        <w:t>მთავარი დებულება: წლიური გადახედვა გეგმას განაახლებს და აჩვენებს, რომ ის გადაწყვეტილებებს წარმართავს.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>თუ მიზნის დაფინანსება შეუძლებელია, მმართველი ორგანო წყვეტს — დააფინანსოს, შეცვალოს თუ მოხსნას — და აღრიცხავს მიზეზს.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შერწყმები, ახალი მომსახურებები ან დახურვები</w:t>
            </w:r>
          </w:p>
        </w:tc>
        <w:tc>
          <w:tcPr/>
          <w:p>
            <w:pPr>
              <w:pStyle w:val="Compact"/>
              <w:jc w:val="left"/>
            </w:pPr>
            <w:r>
              <w:t>განაახლეთ გეგმა გადაწყვეტილებიდან 3 თვეში (EC).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11"/>
        </w:numPr>
        <w:pStyle w:val="Compact"/>
      </w:pPr>
      <w:r>
        <w:t>თუ ბიუჯეტი და გეგმა შეთანხმებულ ოდენობაზე მეტით განსხვავდება, ფინანსური დირექტორი ამას მმართველ ორგანოს აცნობებს (EC).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გეგმა დამტკიცებულია და დათარიღებულია ბოლო 5 წლის განმავლობაში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თითოეულ მიზანს აქვს საზომი, სამიზნე და ბიუჯეტის ხაზი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ფინანსური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გეგმის გადახედვა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თანამშრომლები, რომლებიც იცნობენ გეგმასა და კოდექსს (ნიმუში)</w:t>
            </w:r>
          </w:p>
        </w:tc>
        <w:tc>
          <w:tcPr/>
          <w:p>
            <w:pPr>
              <w:pStyle w:val="Compact"/>
              <w:jc w:val="left"/>
            </w:pPr>
            <w:r>
              <w:t>80% (EC)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HR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ბრიფინგი და ხელახალი შემოწმება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ხელმოწერილი გეგმა და დამტკიცების ოქმი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წლიური პროგრესის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2"/>
        </w:numPr>
        <w:pStyle w:val="Compact"/>
      </w:pPr>
      <w:r>
        <w:t>მენეჯერები დანიშვნისას ინფორმირდებიან გეგმასა და კოდექსზე.</w:t>
      </w:r>
    </w:p>
    <w:p>
      <w:pPr>
        <w:numPr>
          <w:ilvl w:val="0"/>
          <w:numId w:val="1012"/>
        </w:numPr>
        <w:pStyle w:val="Compact"/>
      </w:pPr>
      <w:r>
        <w:t>ყველა თანამშრომელი ინდუქციისას იღებს შეჯამებასა და კოდექსს (EC).</w:t>
      </w:r>
    </w:p>
    <w:bookmarkEnd w:id="38"/>
    <w:bookmarkStart w:id="42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GOV-POL-002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თანამშრომელთა ქცევის კოდექსი</w:t>
            </w:r>
          </w:p>
        </w:tc>
        <w:tc>
          <w:tcPr/>
          <w:p>
            <w:pPr>
              <w:pStyle w:val="Compact"/>
              <w:jc w:val="left"/>
            </w:pPr>
            <w:r>
              <w:t>კოდექსი გეგმის შიგნით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მმართველი ორგანოს უფლებამოსილების დებულებები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უფლებამოსილება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GOV-REG-001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მმართველი ორგანოს წევრთა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ჩანაწერები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SOP-N03</w:t>
            </w:r>
          </w:p>
        </w:tc>
        <w:tc>
          <w:tcPr/>
          <w:p>
            <w:pPr>
              <w:pStyle w:val="Compact"/>
              <w:jc w:val="left"/>
            </w:pPr>
            <w:r>
              <w:t>ქცევის კოდექსი (კატალოგი)</w:t>
            </w:r>
          </w:p>
        </w:tc>
        <w:tc>
          <w:tcPr/>
          <w:p>
            <w:pPr>
              <w:pStyle w:val="Compact"/>
              <w:jc w:val="left"/>
            </w:pPr>
            <w:r>
              <w:t>იგივე შინაარსი, კატალოგის 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 დაგეგმვის პერიოდი და გადახედვის ციკლი EC-ის გადაწყვეტილებებია.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3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3"/>
        </w:numPr>
        <w:pStyle w:val="Compact"/>
      </w:pPr>
      <w:r>
        <w:t>Accréditation Sans Frontières (2026). ASF Policy Framework v1.2. (E-006)</w:t>
      </w:r>
      <w:r/>
      <w:r/>
    </w:p>
    <w:p>
      <w:pPr>
        <w:pStyle w:val="FirstParagraph"/>
      </w:pPr>
      <w:hyperlink r:id="rId45">
        <w:r>
          <w:rPr>
            <w:rStyle w:val="Hyperlink"/>
          </w:rPr>
          <w:t xml:space="preserve">Download this document as PDF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gov-pol-001/" TargetMode="External"/><Relationship Id="rId39" Type="http://schemas.openxmlformats.org/officeDocument/2006/relationships/hyperlink" Target="/documents/gov-pol-002/" TargetMode="External"/><Relationship Id="rId41" Type="http://schemas.openxmlformats.org/officeDocument/2006/relationships/hyperlink" Target="/documents/gov-reg-001/" TargetMode="External"/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2" TargetMode="External"/><Relationship Id="rId45" Type="http://schemas.openxmlformats.org/officeDocument/2006/relationships/hyperlink" Target="https://france-asf.fr/wp-content/uploads/2026/10/gov-pln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gov-pol-001/" TargetMode="External"/><Relationship Id="rId39" Type="http://schemas.openxmlformats.org/officeDocument/2006/relationships/hyperlink" Target="/documents/gov-pol-002/" TargetMode="External"/><Relationship Id="rId41" Type="http://schemas.openxmlformats.org/officeDocument/2006/relationships/hyperlink" Target="/documents/gov-reg-001/" TargetMode="External"/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2" TargetMode="External"/><Relationship Id="rId45" Type="http://schemas.openxmlformats.org/officeDocument/2006/relationships/hyperlink" Target="https://france-asf.fr/wp-content/uploads/2026/10/gov-pln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GOV-PLN-001: Strategic Plan (template and approval)</dc:title>
  <dc:creator/>
  <cp:keywords/>
  <dcterms:created xsi:type="dcterms:W3CDTF">2026-10-28T21:34:49Z</dcterms:created>
  <dcterms:modified xsi:type="dcterms:W3CDTF">2026-10-28T21:34:49Z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