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GOV-POL-002: თანამშრომელთა ქცევის კოდექსი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თანამშრომელთა ქცევის კოდექსი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GOV-POL-002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>პოლიტიკა · GOV-POL-002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2A.2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ყოველთვის მოიქეცით გულწრფელად, პატივისცემით და ზრუნვით პაციენტებისა და კოლეგების მიმართ.</w:t>
      </w:r>
    </w:p>
    <w:p>
      <w:pPr>
        <w:numPr>
          <w:ilvl w:val="0"/>
          <w:numId w:val="1001"/>
        </w:numPr>
        <w:pStyle w:val="Compact"/>
      </w:pPr>
      <w:r>
        <w:t>დაუყოვნებლივ აცნობეთ უსაფრთხოების შეშფოთებებს, შეცდომებსა და ზიანს.</w:t>
      </w:r>
    </w:p>
    <w:p>
      <w:pPr>
        <w:numPr>
          <w:ilvl w:val="0"/>
          <w:numId w:val="1001"/>
        </w:numPr>
        <w:pStyle w:val="Compact"/>
      </w:pPr>
      <w:r>
        <w:t>გამოაცხადეთ ნებისმიერი ინტერესთა კონფლიქტი, სანამ ის გადაწყვეტილებაზე იმოქმედებს.</w:t>
      </w:r>
    </w:p>
    <w:p>
      <w:pPr>
        <w:numPr>
          <w:ilvl w:val="0"/>
          <w:numId w:val="1001"/>
        </w:numPr>
        <w:pStyle w:val="Compact"/>
      </w:pPr>
      <w:r>
        <w:t>დაიცავით პაციენტისა და თანამშრომლის ინფორმაცია.</w:t>
      </w:r>
    </w:p>
    <w:p>
      <w:pPr>
        <w:numPr>
          <w:ilvl w:val="0"/>
          <w:numId w:val="1001"/>
        </w:numPr>
        <w:pStyle w:val="Compact"/>
      </w:pPr>
      <w:r>
        <w:t>თუ ხედავთ ქცევას, რომელიც ამ კოდექსს არღვევს, ისაუბრეთ და დაცული იქნებით შურისძიებისგან.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გთხოვენ, იმოქმედოთ პაციენტის უსაფრთხოების ან ამ კოდექსის წინააღმდეგ. ეს არ გააკეთოთ. აცნობეთ გამჟღავნების პროცედურით.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განსაზღვროს პირადი და პროფესიული ქცევის სტანდარტები, რომელიც მოელის ყველას, ვინც დაწესებულების სახელით მოქმედებს [E-006, EC].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ყველა თანამშრომელი, სტუდენტი, მოხალისე, კონტრაქტორი და მმართველი ორგანოს წევრი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ყველგან, სადაც პირი დაწესებულებისთვის მუშაობს, მათ შორის დისტანციურად და სახლში ვიზიტებისას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სამუშაოს პირველი დღიდან და მთელი პერიოდის განმავლობაში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პრაქტიკის სტანდარტები, რომლებსაც პროფესიული ორგანოები და კლინიკური პოლიტიკა განსაზღვრავს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ქცევა</w:t>
            </w:r>
          </w:p>
        </w:tc>
        <w:tc>
          <w:tcPr/>
          <w:p>
            <w:pPr>
              <w:pStyle w:val="Compact"/>
              <w:jc w:val="left"/>
            </w:pPr>
            <w:r>
              <w:t>როგორ იქცევა პირი სამუშაოზე, მათ შორის წერილობით და ონლაინ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შურისძიება</w:t>
            </w:r>
          </w:p>
        </w:tc>
        <w:tc>
          <w:tcPr/>
          <w:p>
            <w:pPr>
              <w:pStyle w:val="Compact"/>
              <w:jc w:val="left"/>
            </w:pPr>
            <w:r>
              <w:t>ნებისმიერი ქმედება პირის წინააღმდეგ, რომელმაც კეთილსინდისიერად წამოჭრა შეშფოთება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პაციენტები და კოლეგები ენდობიან, რომ ადამიანები მოიქცევიან სანდოდ და გულწრფელად. ქცევის კოდექსი ქმნის მოლოდინს, განსაზღვრავს, რა ხდება მისი დარღვევისას, და იცავს მათ, ვინც ლაპარაკობს.</w:t>
      </w:r>
    </w:p>
    <w:p>
      <w:pPr>
        <w:pStyle w:val="BodyText"/>
      </w:pPr>
      <w:r>
        <w:t>კოდექსი არის კრიტერიუმ 2A.2-ის მითითება და ადაპტირებულია ASF პოლიტიკის ჩარჩოდან (პოლიტიკა 16, პოლიტიკა 67 და ფორმა F12).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ყველა დაფარული პირი</w:t>
            </w:r>
          </w:p>
        </w:tc>
        <w:tc>
          <w:tcPr/>
          <w:p>
            <w:pPr>
              <w:pStyle w:val="Compact"/>
              <w:jc w:val="left"/>
            </w:pPr>
            <w:r>
              <w:t>წაიკითხეთ, მოაწერეთ ხელი და მიჰყევით კოდექსს; აცნობეთ დარღვევებს</w:t>
            </w:r>
          </w:p>
        </w:tc>
        <w:tc>
          <w:tcPr/>
          <w:p>
            <w:pPr>
              <w:pStyle w:val="Compact"/>
              <w:jc w:val="left"/>
            </w:pPr>
            <w:r>
              <w:t>ინდუქცია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>მოდელირება გაუკეთეთ კოდექსს; იმოქმედეთ შეშფოთებებზე; აწარმოეთ დარღვევების ჩანაწერები</w:t>
            </w:r>
          </w:p>
        </w:tc>
        <w:tc>
          <w:tcPr/>
          <w:p>
            <w:pPr>
              <w:pStyle w:val="Compact"/>
              <w:jc w:val="left"/>
            </w:pPr>
            <w:r>
              <w:t>მენეჯმენტის სწავლება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HR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ინახავს ხელმოწერილ დადასტურებებს; ატარებს დისციპლინარულ პროცესს</w:t>
            </w:r>
          </w:p>
        </w:tc>
        <w:tc>
          <w:tcPr/>
          <w:p>
            <w:pPr>
              <w:pStyle w:val="Compact"/>
              <w:jc w:val="left"/>
            </w:pPr>
            <w:r>
              <w:t>პერსონალის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კოდექსს და დარღვევებს აცნობებს მმართველ ორგანოს</w:t>
            </w:r>
          </w:p>
        </w:tc>
        <w:tc>
          <w:tcPr/>
          <w:p>
            <w:pPr>
              <w:pStyle w:val="Compact"/>
              <w:jc w:val="left"/>
            </w:pPr>
            <w:r>
              <w:t>აღმასრულებელი ხელმძღვანელობა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ხელმოწერილი დადასტურება (FRM-N10)</w:t>
            </w:r>
          </w:p>
        </w:tc>
        <w:tc>
          <w:tcPr/>
          <w:p>
            <w:pPr>
              <w:pStyle w:val="Compact"/>
              <w:jc w:val="left"/>
            </w:pPr>
            <w:r>
              <w:t>ხელმოწერილი ჩართვისას და ყოველი ცვლილების შემდეგ</w:t>
            </w:r>
          </w:p>
        </w:tc>
        <w:tc>
          <w:tcPr/>
          <w:p>
            <w:pPr>
              <w:pStyle w:val="Compact"/>
              <w:jc w:val="left"/>
            </w:pPr>
            <w:r>
              <w:t>დასრულებულია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გამჟღავნების (speak-up) ფორმა (FRM-N04)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ხელმისაწვდომია ყველასთვის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არ გაუზიაროთ პაციენტის ინფორმაცია დამტკიცებული ჩანაწერის გარეთ, მათ შორის სოციალურ მედიაში.</w:t>
      </w:r>
    </w:p>
    <w:p>
      <w:pPr>
        <w:numPr>
          <w:ilvl w:val="0"/>
          <w:numId w:val="1002"/>
        </w:numPr>
        <w:pStyle w:val="Compact"/>
      </w:pPr>
      <w:r>
        <w:t>არასოდეს მიიღოთ საჩუქრები ან სიკეთე, რომელმაც შეიძლება გავლენა მოახდინოს თქვენს სამუშაოზე, საჩუქრების პოლიტიკის ზღვარზე მეტი.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სამუშაოს დაწყებამდე წაიკითხეთ კოდექსი.</w:t>
      </w:r>
    </w:p>
    <w:p>
      <w:pPr>
        <w:numPr>
          <w:ilvl w:val="0"/>
          <w:numId w:val="1003"/>
        </w:numPr>
        <w:pStyle w:val="Compact"/>
      </w:pPr>
      <w:r>
        <w:t>ხელი მოაწერეთ დადასტურებას, სანამ მარტო იმუშავებთ.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მოქმედეთ გულწრფელად და კეთილსინდისიერად.</w:t>
      </w:r>
    </w:p>
    <w:p>
      <w:pPr>
        <w:numPr>
          <w:ilvl w:val="0"/>
          <w:numId w:val="1004"/>
        </w:numPr>
        <w:pStyle w:val="Compact"/>
      </w:pPr>
      <w:r>
        <w:t>თქვით სიმართლე თქვენს სამუშაოზე, მათ შორის შეცდომებზე.</w:t>
      </w:r>
    </w:p>
    <w:p>
      <w:pPr>
        <w:numPr>
          <w:ilvl w:val="0"/>
          <w:numId w:val="1004"/>
        </w:numPr>
        <w:pStyle w:val="Compact"/>
      </w:pPr>
      <w:r>
        <w:t>არ გააყალბოთ ჩანაწერები, სამუშაო დროის აღრიცხვა, სერთიფიკატები ან მოთხოვნები.</w:t>
      </w:r>
    </w:p>
    <w:p>
      <w:pPr>
        <w:pStyle w:val="FirstParagraph"/>
      </w:pPr>
      <w:r>
        <w:rPr>
          <w:bCs/>
          <w:b/>
        </w:rPr>
        <w:t>მთავარი დებულება: გულწრფელობა უსაფრთხოების საფუძველია. დამალული შეცდომა უფრო დიდი რისკია, ვიდრე ანგარიშგებული.</w:t>
      </w:r>
      <w:r/>
      <w:r/>
    </w:p>
    <w:p>
      <w:pPr>
        <w:pStyle w:val="BodyText"/>
      </w:pPr>
      <w:r>
        <w:t>ეტაპი 2. ყველა მიმართეთ პატივისცემით.</w:t>
      </w:r>
    </w:p>
    <w:p>
      <w:pPr>
        <w:numPr>
          <w:ilvl w:val="0"/>
          <w:numId w:val="1005"/>
        </w:numPr>
        <w:pStyle w:val="Compact"/>
      </w:pPr>
      <w:r>
        <w:t>არ გაამყაროთ არცერთ საფუძველზე, არ შეაწუხოთ, არ ჩაგრათ და არ ეძალადოთ პაციენტს, ნათესავს ან კოლეგას.</w:t>
      </w:r>
    </w:p>
    <w:p>
      <w:pPr>
        <w:numPr>
          <w:ilvl w:val="0"/>
          <w:numId w:val="1005"/>
        </w:numPr>
        <w:pStyle w:val="Compact"/>
      </w:pPr>
      <w:r>
        <w:t>ყოველ კომუნიკაციაში გამოიყენეთ პროფესიონალური ტონი.</w:t>
      </w:r>
    </w:p>
    <w:p>
      <w:pPr>
        <w:pStyle w:val="FirstParagraph"/>
      </w:pPr>
      <w:r>
        <w:rPr>
          <w:bCs/>
          <w:b/>
        </w:rPr>
        <w:t>მთავარი დებულება: უპატივცემულობისგან მიყენებული ზიანი რეალურია, მაშინაც კი, თუ ფიზიკურად არავინ დაზიანებულა.</w:t>
      </w:r>
      <w:r/>
      <w:r/>
    </w:p>
    <w:p>
      <w:pPr>
        <w:pStyle w:val="BodyText"/>
      </w:pPr>
      <w:r>
        <w:t>ეტაპი 3. უსაფრთხოების შეშფოთებები დაუყოვნებლივ აცნობეთ.</w:t>
      </w:r>
    </w:p>
    <w:p>
      <w:pPr>
        <w:numPr>
          <w:ilvl w:val="0"/>
          <w:numId w:val="1006"/>
        </w:numPr>
        <w:pStyle w:val="Compact"/>
      </w:pPr>
      <w:r>
        <w:t>ნებისმიერი ინციდენტი, თითქმის ინციდენტი, არაუსაფრთხო პირობა ან ზიანი აცნობეთ INC-POL-001-ით იმავე ცვლაში.</w:t>
      </w:r>
    </w:p>
    <w:p>
      <w:pPr>
        <w:numPr>
          <w:ilvl w:val="0"/>
          <w:numId w:val="1006"/>
        </w:numPr>
        <w:pStyle w:val="Compact"/>
      </w:pPr>
      <w:r>
        <w:t>ნუ დაელოდებით, სანამ დარწმუნდებით.</w:t>
      </w:r>
    </w:p>
    <w:p>
      <w:pPr>
        <w:pStyle w:val="FirstParagraph"/>
      </w:pPr>
      <w:r>
        <w:rPr>
          <w:bCs/>
          <w:b/>
        </w:rPr>
        <w:t>მთავარი დებულება: შეტყობინება ვალდებულებაა და არა კოლეგის შეფასება.</w:t>
      </w:r>
      <w:r/>
      <w:r/>
    </w:p>
    <w:p>
      <w:pPr>
        <w:pStyle w:val="BodyText"/>
      </w:pPr>
      <w:r>
        <w:t>ეტაპი 4. გამოაცხადეთ ინტერესთა კონფლიქტები.</w:t>
      </w:r>
    </w:p>
    <w:p>
      <w:pPr>
        <w:numPr>
          <w:ilvl w:val="0"/>
          <w:numId w:val="1007"/>
        </w:numPr>
        <w:pStyle w:val="Compact"/>
      </w:pPr>
      <w:r>
        <w:t>დანიშვნისას და ახალი ინტერესის გაჩენისას შეავსეთ FRM-N01.</w:t>
      </w:r>
    </w:p>
    <w:p>
      <w:pPr>
        <w:numPr>
          <w:ilvl w:val="0"/>
          <w:numId w:val="1007"/>
        </w:numPr>
        <w:pStyle w:val="Compact"/>
      </w:pPr>
      <w:r>
        <w:t>გამოაცხადეთ გადაწყვეტილებამდე, და არა შემდეგ.</w:t>
      </w:r>
    </w:p>
    <w:p>
      <w:pPr>
        <w:pStyle w:val="FirstParagraph"/>
      </w:pPr>
      <w:r>
        <w:rPr>
          <w:bCs/>
          <w:b/>
        </w:rPr>
        <w:t>მთავარი დებულება: გამოცხადებული კონფლიქტები შეიძლება მართული იყოს. გამოუცხადებელი კი ნდობას აზიანებს.</w:t>
      </w:r>
      <w:r/>
      <w:r/>
    </w:p>
    <w:p>
      <w:pPr>
        <w:pStyle w:val="BodyText"/>
      </w:pPr>
      <w:r>
        <w:t>ეტაპი 5. დაიცავით ინფორმაცია.</w:t>
      </w:r>
    </w:p>
    <w:p>
      <w:pPr>
        <w:numPr>
          <w:ilvl w:val="0"/>
          <w:numId w:val="1008"/>
        </w:numPr>
        <w:pStyle w:val="Compact"/>
      </w:pPr>
      <w:r>
        <w:t>დაიცავით პაციენტის ინფორმაციის კონფიდენციალურობა, მიჰყევით ჩანაწერებისა და კონფიდენციალურობის პოლიტიკას და არ გაუზიაროთ პაროლები.</w:t>
      </w:r>
    </w:p>
    <w:p>
      <w:pPr>
        <w:numPr>
          <w:ilvl w:val="0"/>
          <w:numId w:val="1008"/>
        </w:numPr>
        <w:pStyle w:val="Compact"/>
      </w:pPr>
      <w:r>
        <w:t>ნებისმიერი დარღვევა დაუყოვნებლივ აცნობეთ DIG-SOP-001-ით.</w:t>
      </w:r>
    </w:p>
    <w:p>
      <w:pPr>
        <w:pStyle w:val="FirstParagraph"/>
      </w:pPr>
      <w:r>
        <w:rPr>
          <w:bCs/>
          <w:b/>
        </w:rPr>
        <w:t>მთავარი დებულება: კონფიდენციალურობა არის ის, რაც პაციენტებს საშუალებას აძლევს გულწრფელად ისაუბრონ.</w:t>
      </w:r>
      <w:r/>
      <w:r/>
    </w:p>
    <w:p>
      <w:pPr>
        <w:pStyle w:val="BodyText"/>
      </w:pPr>
      <w:r>
        <w:t>ეტაპი 6. ისაუბრეთ, როცა დარღვევას ხედავთ.</w:t>
      </w:r>
    </w:p>
    <w:p>
      <w:pPr>
        <w:numPr>
          <w:ilvl w:val="0"/>
          <w:numId w:val="1009"/>
        </w:numPr>
        <w:pStyle w:val="Compact"/>
      </w:pPr>
      <w:r>
        <w:t>შეშფოთება აცნობეთ თქვენს მენეჯერს ან გამჟღავნების (speak-up) გზით (SOP-N21 და FRM-N04).</w:t>
      </w:r>
    </w:p>
    <w:p>
      <w:pPr>
        <w:numPr>
          <w:ilvl w:val="0"/>
          <w:numId w:val="1009"/>
        </w:numPr>
        <w:pStyle w:val="Compact"/>
      </w:pPr>
      <w:r>
        <w:t>კეთილსინდისიერად წამოჭრილი შეშფოთებები დაცულია. შურისძიება ამ კოდექსის დარღვევაა.</w:t>
      </w:r>
    </w:p>
    <w:p>
      <w:pPr>
        <w:pStyle w:val="FirstParagraph"/>
      </w:pPr>
      <w:r>
        <w:rPr>
          <w:bCs/>
          <w:b/>
        </w:rPr>
        <w:t>მთავარი დებულება: ადამიანები დუმილს ირჩევენ, როცა ფიქრობენ, რომ არაფერი შეიცვლება ან დასჯიან. აქ ორივე უნდა იყოს მცდარი.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10"/>
        </w:numPr>
        <w:pStyle w:val="Compact"/>
      </w:pPr>
      <w:r>
        <w:t>თუ მიღებული ინსტრუქცია პაციენტის უსაფრთხოებას ეწინააღმდეგება, არ შეასრულოთ. აცნობეთ ყველაზე მაღალი რანგის ხელმისაწვდომ კლინიცისტს და აღრიცხეთ კონფლიქტი.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სტუდენტები და მოხალისეები</w:t>
            </w:r>
          </w:p>
        </w:tc>
        <w:tc>
          <w:tcPr/>
          <w:p>
            <w:pPr>
              <w:pStyle w:val="Compact"/>
              <w:jc w:val="left"/>
            </w:pPr>
            <w:r>
              <w:t>კოდექსზე ინდუქციისას ბრიფინგი ჩატარდა; ზედამხედველები პასუხისმგებლები არიან შესაბამისობაზე.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11"/>
        </w:numPr>
        <w:pStyle w:val="Compact"/>
      </w:pPr>
      <w:r>
        <w:t>დარღვევები ეცნობება ხაზოვან მენეჯერს; სერიოზულები — HR ხელმძღვანელსა და აღმასრულებელ დირექტორს.</w:t>
      </w:r>
    </w:p>
    <w:p>
      <w:pPr>
        <w:numPr>
          <w:ilvl w:val="0"/>
          <w:numId w:val="1011"/>
        </w:numPr>
        <w:pStyle w:val="Compact"/>
      </w:pPr>
      <w:r>
        <w:t>მაღალი თანამდებობის პირის შესახებ შეშფოთება მიდის მმართველი ორგანოს თავმჯდომარესთან.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თითოეული პირის ხელმოწერილი დადასტურება ფაილშია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თითოეული ვალდებულებისას; წლიური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HR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დაადასტურეთ 14 დღეში, წინააღმდეგ შემთხვევაში წვდომა შეჩერდება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დარღვევები ეცნობება და იხურება 30 დღეში</w:t>
            </w:r>
          </w:p>
        </w:tc>
        <w:tc>
          <w:tcPr/>
          <w:p>
            <w:pPr>
              <w:pStyle w:val="Compact"/>
              <w:jc w:val="left"/>
            </w:pPr>
            <w:r>
              <w:t>90% (EC)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HR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აღმასრულებელი დირექტორის მიერ გადახედვა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თანამშრომლები, რომლებსაც შეუძლიათ გამჟღავნების გზის აღწერა (ნიმუში)</w:t>
            </w:r>
          </w:p>
        </w:tc>
        <w:tc>
          <w:tcPr/>
          <w:p>
            <w:pPr>
              <w:pStyle w:val="Compact"/>
              <w:jc w:val="left"/>
            </w:pPr>
            <w:r>
              <w:t>80% (EC)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ბრიფინგი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ხელმოწერილი დადასტურება (FRM-N10)</w:t>
            </w:r>
          </w:p>
        </w:tc>
        <w:tc>
          <w:tcPr/>
          <w:p>
            <w:pPr>
              <w:pStyle w:val="Compact"/>
              <w:jc w:val="left"/>
            </w:pPr>
            <w:r>
              <w:t>HR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დასაქმების ხანგრძლივობა პლუს დაწესებულების ჩანაწერების პოლიტიკით განსაზღვრული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დარღვევების ჩანაწერები და შედეგები</w:t>
            </w:r>
          </w:p>
        </w:tc>
        <w:tc>
          <w:tcPr/>
          <w:p>
            <w:pPr>
              <w:pStyle w:val="Compact"/>
              <w:jc w:val="left"/>
            </w:pPr>
            <w:r>
              <w:t>პერსონალის ფაილი (შეზღუდული)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2"/>
        </w:numPr>
        <w:pStyle w:val="Compact"/>
      </w:pPr>
      <w:r>
        <w:t>ქცევის კოდექსი ყოველ პირს ინდუქციაზე ეხება (EC).</w:t>
      </w:r>
    </w:p>
    <w:p>
      <w:pPr>
        <w:numPr>
          <w:ilvl w:val="0"/>
          <w:numId w:val="1012"/>
        </w:numPr>
        <w:pStyle w:val="Compact"/>
      </w:pPr>
      <w:r>
        <w:t>განახლება ყოველ წელს და ნებისმიერი ცვლილების შემდეგ (EC).</w:t>
      </w:r>
    </w:p>
    <w:bookmarkEnd w:id="38"/>
    <w:bookmarkStart w:id="40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GOV-PLN-001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სტრატეგიული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>კოდექსი გეგმის ნაწილია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FRM-N10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პოლიტიკის დადასტურება და ქცევის კოდექსის დეკლარაცია</w:t>
            </w:r>
          </w:p>
        </w:tc>
        <w:tc>
          <w:tcPr/>
          <w:p>
            <w:pPr>
              <w:pStyle w:val="Compact"/>
              <w:jc w:val="left"/>
            </w:pPr>
            <w:r>
              <w:t>ხელმოწერილი დადასტურება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FRM-N04</w:t>
            </w:r>
          </w:p>
        </w:tc>
        <w:tc>
          <w:tcPr/>
          <w:p>
            <w:pPr>
              <w:pStyle w:val="Compact"/>
              <w:jc w:val="left"/>
            </w:pPr>
            <w:r>
              <w:t>კონფიდენციალური მთლიანობის ანგარიში (Speak-Up)</w:t>
            </w:r>
          </w:p>
        </w:tc>
        <w:tc>
          <w:tcPr/>
          <w:p>
            <w:pPr>
              <w:pStyle w:val="Compact"/>
              <w:jc w:val="left"/>
            </w:pPr>
            <w:r>
              <w:t>გამჟღავნების (speak-up) ფორმა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SOP-N21</w:t>
            </w:r>
          </w:p>
        </w:tc>
        <w:tc>
          <w:tcPr/>
          <w:p>
            <w:pPr>
              <w:pStyle w:val="Compact"/>
              <w:jc w:val="left"/>
            </w:pPr>
            <w:r>
              <w:t>შეშფოთების გამჟღავნების (Whistleblowing და Speak-Up) პროცედურა</w:t>
            </w:r>
          </w:p>
        </w:tc>
        <w:tc>
          <w:tcPr/>
          <w:p>
            <w:pPr>
              <w:pStyle w:val="Compact"/>
              <w:jc w:val="left"/>
            </w:pPr>
            <w:r>
              <w:t>გამჟღავნების (speak-up) გზა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SOP-N01</w:t>
            </w:r>
          </w:p>
        </w:tc>
        <w:tc>
          <w:tcPr/>
          <w:p>
            <w:pPr>
              <w:pStyle w:val="Compact"/>
              <w:jc w:val="left"/>
            </w:pPr>
            <w:r>
              <w:t>ინტერესთა კონფლიქტისა და მიუკერძოებლობის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>დეკლარაციები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 ადაპტირებულია ASF პოლიტიკა 16-დან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3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3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3">
        <w:r>
          <w:rPr>
            <w:rStyle w:val="Hyperlink"/>
          </w:rPr>
          <w:t xml:space="preserve">Download this document as PDF</w:t>
        </w:r>
      </w:hyperlink>
    </w:p>
    <w:bookmarkEnd w:id="44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gov-pln-001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2" TargetMode="External"/><Relationship Id="rId43" Type="http://schemas.openxmlformats.org/officeDocument/2006/relationships/hyperlink" Target="https://france-asf.fr/wp-content/uploads/2026/10/gov-pol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gov-pln-001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2" TargetMode="External"/><Relationship Id="rId43" Type="http://schemas.openxmlformats.org/officeDocument/2006/relationships/hyperlink" Target="https://france-asf.fr/wp-content/uploads/2026/10/gov-pol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GOV-POL-002: Code of Conduct for Staff</dc:title>
  <dc:creator/>
  <cp:keywords/>
  <dcterms:created xsi:type="dcterms:W3CDTF">2026-10-28T21:34:49Z</dcterms:created>
  <dcterms:modified xsi:type="dcterms:W3CDTF">2026-10-28T21:34:49Z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