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GOV-POL-004:</w:t>
      </w:r>
      <w:r>
        <w:t xml:space="preserve"> </w:t>
      </w:r>
      <w:r>
        <w:t xml:space="preserve">კლინიკური</w:t>
      </w:r>
      <w:r>
        <w:t xml:space="preserve"> </w:t>
      </w:r>
      <w:r>
        <w:t xml:space="preserve">ეთიკური</w:t>
      </w:r>
      <w:r>
        <w:t xml:space="preserve"> </w:t>
      </w:r>
      <w:r>
        <w:t xml:space="preserve">კონსულტაციის</w:t>
      </w:r>
      <w:r>
        <w:t xml:space="preserve"> </w:t>
      </w:r>
      <w:r>
        <w:t xml:space="preserve">პოლიტიკა</w:t>
      </w:r>
      <w:r>
        <w:t xml:space="preserve"> </w:t>
      </w:r>
      <w:r>
        <w:t xml:space="preserve">და</w:t>
      </w:r>
      <w:r>
        <w:t xml:space="preserve"> </w:t>
      </w:r>
      <w:r>
        <w:t xml:space="preserve">საქმიანობის</w:t>
      </w:r>
      <w:r>
        <w:t xml:space="preserve"> </w:t>
      </w:r>
      <w:r>
        <w:t xml:space="preserve">წესები</w:t>
      </w:r>
    </w:p>
    <w:bookmarkStart w:id="47" w:name="Xfe06319021f41546cdc2038d4a398b099972c24"/>
    <w:p>
      <w:pPr>
        <w:pStyle w:val="Heading1"/>
      </w:pPr>
      <w:r>
        <w:t xml:space="preserve">GOV-POL-004: კლინიკური ეთიკური კონსულტაციის პოლიტიკა და საქმიანობის წესები</w:t>
      </w:r>
    </w:p>
    <w:p>
      <w:pPr>
        <w:pStyle w:val="FirstParagraph"/>
      </w:pPr>
      <w:hyperlink r:id="rId20">
        <w:r>
          <w:rPr>
            <w:rStyle w:val="Hyperlink"/>
          </w:rPr>
          <w:t xml:space="preserve">სტანდარტები</w:t>
        </w:r>
      </w:hyperlink>
      <w:r>
        <w:t xml:space="preserve"> </w:t>
      </w:r>
      <w:r>
        <w:t xml:space="preserve">›</w:t>
      </w:r>
      <w:r>
        <w:t xml:space="preserve"> </w:t>
      </w:r>
      <w:hyperlink r:id="rId21">
        <w:r>
          <w:rPr>
            <w:rStyle w:val="Hyperlink"/>
          </w:rPr>
          <w:t xml:space="preserve">სტანდარტი 2A</w:t>
        </w:r>
      </w:hyperlink>
      <w:r>
        <w:t xml:space="preserve"> </w:t>
      </w:r>
      <w:r>
        <w:t xml:space="preserve">›</w:t>
      </w:r>
      <w:r>
        <w:t xml:space="preserve"> </w:t>
      </w:r>
      <w:hyperlink r:id="rId22">
        <w:r>
          <w:rPr>
            <w:rStyle w:val="Hyperlink"/>
          </w:rPr>
          <w:t xml:space="preserve">პოლიტიკები</w:t>
        </w:r>
      </w:hyperlink>
    </w:p>
    <w:p>
      <w:pPr>
        <w:pStyle w:val="BodyText"/>
      </w:pPr>
      <w:r>
        <w:t xml:space="preserve">პოლიტიკა · GOV-POL-004 · ვერსია 1.1 · დამტკიცებულია ASF ექსპერტთა კომიტეტის მიერ</w:t>
      </w:r>
    </w:p>
    <w:p>
      <w:pPr>
        <w:pStyle w:val="BodyText"/>
      </w:pPr>
      <w:r>
        <w:rPr>
          <w:bCs/>
          <w:b/>
        </w:rPr>
        <w:t xml:space="preserve">მხარს უჭერს:</w:t>
      </w:r>
      <w:r>
        <w:t xml:space="preserve"> </w:t>
      </w:r>
      <w:hyperlink r:id="rId23">
        <w:r>
          <w:rPr>
            <w:rStyle w:val="Hyperlink"/>
          </w:rPr>
          <w:t xml:space="preserve">2A.9</w:t>
        </w:r>
      </w:hyperlink>
    </w:p>
    <w:p>
      <w:pPr>
        <w:pStyle w:val="BodyText"/>
      </w:pPr>
      <w:r>
        <w:t xml:space="preserve">მოკლედ</w:t>
      </w:r>
    </w:p>
    <w:p>
      <w:pPr>
        <w:numPr>
          <w:ilvl w:val="0"/>
          <w:numId w:val="1001"/>
        </w:numPr>
        <w:pStyle w:val="Compact"/>
      </w:pPr>
      <w:r>
        <w:t xml:space="preserve">პერსონალს, რომელსაც პაციენტის მოვლაში ეთიკური დილემა ეხება, ნებისმიერ დროს შეუძლია კონსულტაცია მოითხოვოს.</w:t>
      </w:r>
    </w:p>
    <w:p>
      <w:pPr>
        <w:numPr>
          <w:ilvl w:val="0"/>
          <w:numId w:val="1001"/>
        </w:numPr>
        <w:pStyle w:val="Compact"/>
      </w:pPr>
      <w:r>
        <w:t xml:space="preserve">კონსულტაცია კონფიდენციალურია, დროული და არასავალდებულო; გადაწყვეტილებას მკურნალი გუნდი იღებს.</w:t>
      </w:r>
    </w:p>
    <w:p>
      <w:pPr>
        <w:numPr>
          <w:ilvl w:val="0"/>
          <w:numId w:val="1001"/>
        </w:numPr>
        <w:pStyle w:val="Compact"/>
      </w:pPr>
      <w:r>
        <w:t xml:space="preserve">მოთხოვნები მიემართება დასახელებულ საკონტაქტო პირს (ან კომიტეტს), რომელიც დადგენილ ვადაში მოაწყობს კონსულტაციას.</w:t>
      </w:r>
    </w:p>
    <w:p>
      <w:pPr>
        <w:numPr>
          <w:ilvl w:val="0"/>
          <w:numId w:val="1001"/>
        </w:numPr>
        <w:pStyle w:val="Compact"/>
      </w:pPr>
      <w:r>
        <w:t xml:space="preserve">ყოველი კონსულტაცია ჟურნალში ჩაიწერება მიცემული რჩევით, პაციენტის იდენტიფიკატორების გარეშე.</w:t>
      </w:r>
    </w:p>
    <w:p>
      <w:pPr>
        <w:numPr>
          <w:ilvl w:val="0"/>
          <w:numId w:val="1001"/>
        </w:numPr>
        <w:pStyle w:val="Compact"/>
      </w:pPr>
      <w:r>
        <w:t xml:space="preserve">დაუყოვნებლივ შეაჩერეთ და მიიღეთ დახმარება, თუ: პაციენტს უშუალო რისკი ემუქრება. ჯერ გადაუდებელი სიტუაცია მოაგვარეთ, ეთიკური რჩევა მოგვიანებით მოითხოვეთ.</w:t>
      </w:r>
    </w:p>
    <w:bookmarkStart w:id="24" w:name="მიზანი"/>
    <w:p>
      <w:pPr>
        <w:pStyle w:val="Heading2"/>
      </w:pPr>
      <w:r>
        <w:t xml:space="preserve">1. მიზანი</w:t>
      </w:r>
    </w:p>
    <w:p>
      <w:pPr>
        <w:pStyle w:val="FirstParagraph"/>
      </w:pPr>
      <w:r>
        <w:t xml:space="preserve">იმისთვის, რომ პერსონალს ჰქონდეს გამოსადეგი გზა რთულ გადაწყვეტილებებზე ეთიკური რჩევის მისაღებად, რათა ისინი ეს მარტო არ გადაწყვიტონ [E-006, EC].</w:t>
      </w:r>
    </w:p>
    <w:bookmarkEnd w:id="24"/>
    <w:bookmarkStart w:id="25" w:name="მოქმედების-სფერო"/>
    <w:p>
      <w:pPr>
        <w:pStyle w:val="Heading2"/>
      </w:pPr>
      <w:r>
        <w:t xml:space="preserve">2. მოქმედების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ყველა კლინიკური და არაკლინიკური პერსონალი, და პაციენტები და ოჯახები, რომლებიც ეთიკურ შეშფოთებას აყენებენ</w:t>
            </w:r>
          </w:p>
        </w:tc>
      </w:tr>
      <w:tr>
        <w:tc>
          <w:tcPr/>
          <w:p>
            <w:pPr>
              <w:pStyle w:val="Compact"/>
              <w:jc w:val="left"/>
            </w:pPr>
            <w:r>
              <w:t xml:space="preserve">ადგილები</w:t>
            </w:r>
          </w:p>
        </w:tc>
        <w:tc>
          <w:tcPr/>
          <w:p>
            <w:pPr>
              <w:pStyle w:val="Compact"/>
              <w:jc w:val="left"/>
            </w:pPr>
            <w:r>
              <w:t xml:space="preserve">ობიექტის ყველა მომსახურება</w:t>
            </w:r>
          </w:p>
        </w:tc>
      </w:tr>
      <w:tr>
        <w:tc>
          <w:tcPr/>
          <w:p>
            <w:pPr>
              <w:pStyle w:val="Compact"/>
              <w:jc w:val="left"/>
            </w:pPr>
            <w:r>
              <w:t xml:space="preserve">როდის</w:t>
            </w:r>
          </w:p>
        </w:tc>
        <w:tc>
          <w:tcPr/>
          <w:p>
            <w:pPr>
              <w:pStyle w:val="Compact"/>
              <w:jc w:val="left"/>
            </w:pPr>
            <w:r>
              <w:t xml:space="preserve">ნებისმიერ დროს, როცა პაციენტის მოვლაში ეთიკური დილემა წარმოიშობა</w:t>
            </w:r>
          </w:p>
        </w:tc>
      </w:tr>
      <w:tr>
        <w:tc>
          <w:tcPr/>
          <w:p>
            <w:pPr>
              <w:pStyle w:val="Compact"/>
              <w:jc w:val="left"/>
            </w:pPr>
            <w:r>
              <w:t xml:space="preserve">არ ვრცელდება</w:t>
            </w:r>
          </w:p>
        </w:tc>
        <w:tc>
          <w:tcPr/>
          <w:p>
            <w:pPr>
              <w:pStyle w:val="Compact"/>
              <w:jc w:val="left"/>
            </w:pPr>
            <w:r>
              <w:t xml:space="preserve">კვლევის ეთიკა, რომელსაც მოიცავს SOP-N05, და სამართლებრივი დავები, რომლებიც აღმასრულებელ დირექტორს გადაეცემა</w:t>
            </w:r>
          </w:p>
        </w:tc>
      </w:tr>
    </w:tbl>
    <w:bookmarkEnd w:id="25"/>
    <w:bookmarkStart w:id="26"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ეთიკური დილემა</w:t>
            </w:r>
          </w:p>
        </w:tc>
        <w:tc>
          <w:tcPr/>
          <w:p>
            <w:pPr>
              <w:pStyle w:val="Compact"/>
              <w:jc w:val="left"/>
            </w:pPr>
            <w:r>
              <w:t xml:space="preserve">სიტუაცია, სადაც ღირებულებები ან მოვალეობები ისე ეჯახება, რომ სწორი ქმედება გაუგებარი ხდება</w:t>
            </w:r>
          </w:p>
        </w:tc>
      </w:tr>
      <w:tr>
        <w:tc>
          <w:tcPr/>
          <w:p>
            <w:pPr>
              <w:pStyle w:val="Compact"/>
              <w:jc w:val="left"/>
            </w:pPr>
            <w:r>
              <w:t xml:space="preserve">კონსულტაცია</w:t>
            </w:r>
          </w:p>
        </w:tc>
        <w:tc>
          <w:tcPr/>
          <w:p>
            <w:pPr>
              <w:pStyle w:val="Compact"/>
              <w:jc w:val="left"/>
            </w:pPr>
            <w:r>
              <w:t xml:space="preserve">რჩევა ეთიკური გზიდან. ის აფორმებს გადაწყვეტილებას, მაგრამ არ იღებს მას</w:t>
            </w:r>
          </w:p>
        </w:tc>
      </w:tr>
      <w:tr>
        <w:tc>
          <w:tcPr/>
          <w:p>
            <w:pPr>
              <w:pStyle w:val="Compact"/>
              <w:jc w:val="left"/>
            </w:pPr>
            <w:r>
              <w:t xml:space="preserve">ეთიკის კომიტეტი ან საკონტაქტო პირი</w:t>
            </w:r>
          </w:p>
        </w:tc>
        <w:tc>
          <w:tcPr/>
          <w:p>
            <w:pPr>
              <w:pStyle w:val="Compact"/>
              <w:jc w:val="left"/>
            </w:pPr>
            <w:r>
              <w:t xml:space="preserve">დასახელებული პირი ან ჯგუფი, რომელიც იღებს მოთხოვნებს (კომიტეტის წესები ამ პოლიტიკაში არის მოცემული)</w:t>
            </w:r>
          </w:p>
        </w:tc>
      </w:tr>
    </w:tbl>
    <w:bookmarkEnd w:id="26"/>
    <w:bookmarkStart w:id="27" w:name="ფონი"/>
    <w:p>
      <w:pPr>
        <w:pStyle w:val="Heading2"/>
      </w:pPr>
      <w:r>
        <w:t xml:space="preserve">4. ფონი</w:t>
      </w:r>
    </w:p>
    <w:p>
      <w:pPr>
        <w:pStyle w:val="FirstParagraph"/>
      </w:pPr>
      <w:r>
        <w:t xml:space="preserve">მკურნალობის, მკურნალობის შეწყვეტის, შესაძლებლობისა და სიცოცხლის ბოლო ეტაპის მოვლის შესახებ რთული გადაწყვეტილებები ხშირად ზეწოლის ქვეშ მიიღება. დამოუკიდებელ რჩევაზე წვდომა ამცირებს ზიანს და უჭერს მხარს პერსონალს. კრიტერიუმი 2A.9 მოითხოვს გამოსადეგ პროცესს და არა მხოლოდ დოკუმენტს.</w:t>
      </w:r>
    </w:p>
    <w:bookmarkEnd w:id="27"/>
    <w:bookmarkStart w:id="28"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ეთიკის საკონტაქტო პირი ან კომიტეტის თავმჯდომარე</w:t>
            </w:r>
          </w:p>
        </w:tc>
        <w:tc>
          <w:tcPr/>
          <w:p>
            <w:pPr>
              <w:pStyle w:val="Compact"/>
              <w:jc w:val="left"/>
            </w:pPr>
            <w:r>
              <w:t xml:space="preserve">იღებს მოთხოვნებს, დადგენილ ვადაში მოაწყობს კონსულტაციას, იწერს რჩევას</w:t>
            </w:r>
          </w:p>
        </w:tc>
        <w:tc>
          <w:tcPr/>
          <w:p>
            <w:pPr>
              <w:pStyle w:val="Compact"/>
              <w:jc w:val="left"/>
            </w:pPr>
            <w:r>
              <w:t xml:space="preserve">კლინიკური ეთიკის ტრენინგი</w:t>
            </w:r>
          </w:p>
        </w:tc>
      </w:tr>
      <w:tr>
        <w:tc>
          <w:tcPr/>
          <w:p>
            <w:pPr>
              <w:pStyle w:val="Compact"/>
              <w:jc w:val="left"/>
            </w:pPr>
            <w:r>
              <w:t xml:space="preserve">კონსულტაციის წევრები</w:t>
            </w:r>
          </w:p>
        </w:tc>
        <w:tc>
          <w:tcPr/>
          <w:p>
            <w:pPr>
              <w:pStyle w:val="Compact"/>
              <w:jc w:val="left"/>
            </w:pPr>
            <w:r>
              <w:t xml:space="preserve">გასცემენ რჩევას; დეკლარირებენ ინტერესებს; იცავენ კონფიდენციალურობას</w:t>
            </w:r>
          </w:p>
        </w:tc>
        <w:tc>
          <w:tcPr/>
          <w:p>
            <w:pPr>
              <w:pStyle w:val="Compact"/>
              <w:jc w:val="left"/>
            </w:pPr>
            <w:r>
              <w:t xml:space="preserve">ეთიკის ტრენინგი (EC)</w:t>
            </w:r>
          </w:p>
        </w:tc>
      </w:tr>
      <w:tr>
        <w:tc>
          <w:tcPr/>
          <w:p>
            <w:pPr>
              <w:pStyle w:val="Compact"/>
              <w:jc w:val="left"/>
            </w:pPr>
            <w:r>
              <w:t xml:space="preserve">მომთხოვნი კლინიცისტი</w:t>
            </w:r>
          </w:p>
        </w:tc>
        <w:tc>
          <w:tcPr/>
          <w:p>
            <w:pPr>
              <w:pStyle w:val="Compact"/>
              <w:jc w:val="left"/>
            </w:pPr>
            <w:r>
              <w:t xml:space="preserve">აღწერს შემთხვევას, აწვდის ინფორმაციას და გუნდთან ერთად იღებს გადაწყვეტილებას</w:t>
            </w:r>
          </w:p>
        </w:tc>
        <w:tc>
          <w:tcPr/>
          <w:p>
            <w:pPr>
              <w:pStyle w:val="Compact"/>
              <w:jc w:val="left"/>
            </w:pPr>
            <w:r>
              <w:t xml:space="preserve">საკუთარი პროფესიული კომპეტენცია</w:t>
            </w:r>
          </w:p>
        </w:tc>
      </w:tr>
      <w:tr>
        <w:tc>
          <w:tcPr/>
          <w:p>
            <w:pPr>
              <w:pStyle w:val="Compact"/>
              <w:jc w:val="left"/>
            </w:pPr>
            <w:r>
              <w:t xml:space="preserve">აღმასრულებელი დირექტორი</w:t>
            </w:r>
          </w:p>
        </w:tc>
        <w:tc>
          <w:tcPr/>
          <w:p>
            <w:pPr>
              <w:pStyle w:val="Compact"/>
              <w:jc w:val="left"/>
            </w:pPr>
            <w:r>
              <w:t xml:space="preserve">ამტკიცებს პოლიტიკას და ანგარიშობს კონსულტაციების ჟურნალზე</w:t>
            </w:r>
          </w:p>
        </w:tc>
        <w:tc>
          <w:tcPr/>
          <w:p>
            <w:pPr>
              <w:pStyle w:val="Compact"/>
              <w:jc w:val="left"/>
            </w:pPr>
            <w:r>
              <w:t xml:space="preserve">აღმასრულებელი ხელმძღვანელობა</w:t>
            </w:r>
          </w:p>
        </w:tc>
      </w:tr>
    </w:tbl>
    <w:bookmarkEnd w:id="28"/>
    <w:bookmarkStart w:id="29"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ერთეული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მოთხოვნის ფორმა</w:t>
            </w:r>
          </w:p>
        </w:tc>
        <w:tc>
          <w:tcPr/>
          <w:p>
            <w:pPr>
              <w:pStyle w:val="Compact"/>
              <w:jc w:val="left"/>
            </w:pPr>
            <w:r>
              <w:t xml:space="preserve">მიმდინარე ვერსია; პაციენტის იდენტიფიკატორები არ არის საჭირო</w:t>
            </w:r>
          </w:p>
        </w:tc>
        <w:tc>
          <w:tcPr/>
          <w:p>
            <w:pPr>
              <w:pStyle w:val="Compact"/>
              <w:jc w:val="left"/>
            </w:pPr>
            <w:r>
              <w:t xml:space="preserve">ხელმისაწვდომია ყველა პერსონალისთვის</w:t>
            </w:r>
          </w:p>
        </w:tc>
      </w:tr>
      <w:tr>
        <w:tc>
          <w:tcPr/>
          <w:p>
            <w:pPr>
              <w:pStyle w:val="Compact"/>
              <w:jc w:val="left"/>
            </w:pPr>
            <w:r>
              <w:t xml:space="preserve">კონსულტაციების ჟურნალი (GOV-REG-003)</w:t>
            </w:r>
          </w:p>
        </w:tc>
        <w:tc>
          <w:tcPr/>
          <w:p>
            <w:pPr>
              <w:pStyle w:val="Compact"/>
              <w:jc w:val="left"/>
            </w:pPr>
            <w:r>
              <w:t xml:space="preserve">მიმდინარე</w:t>
            </w:r>
          </w:p>
        </w:tc>
        <w:tc>
          <w:tcPr/>
          <w:p>
            <w:pPr>
              <w:pStyle w:val="Compact"/>
              <w:jc w:val="left"/>
            </w:pPr>
            <w:r>
              <w:t xml:space="preserve">ყოველი კონსულტაციის შემდეგ განახლდება</w:t>
            </w:r>
          </w:p>
        </w:tc>
      </w:tr>
    </w:tbl>
    <w:bookmarkEnd w:id="29"/>
    <w:bookmarkStart w:id="30" w:name="უსაფრთხოება"/>
    <w:p>
      <w:pPr>
        <w:pStyle w:val="Heading2"/>
      </w:pPr>
      <w:r>
        <w:t xml:space="preserve">7. უსაფრთხოება</w:t>
      </w:r>
    </w:p>
    <w:p>
      <w:pPr>
        <w:numPr>
          <w:ilvl w:val="0"/>
          <w:numId w:val="1002"/>
        </w:numPr>
        <w:pStyle w:val="Compact"/>
      </w:pPr>
      <w:r>
        <w:t xml:space="preserve">მოთხოვნებში პაციენტის იდენტიფიკატორები არ შეიტანოთ, თუ კონსულტაციას ისინი არ სჭირდება და პროცესი უსაფრთხოა.</w:t>
      </w:r>
    </w:p>
    <w:p>
      <w:pPr>
        <w:numPr>
          <w:ilvl w:val="0"/>
          <w:numId w:val="1002"/>
        </w:numPr>
        <w:pStyle w:val="Compact"/>
      </w:pPr>
      <w:r>
        <w:t xml:space="preserve">ეთიკური რჩევის მოლოდინში გადაუდებელი მკურნალობა არ შეაყოვნოთ.</w:t>
      </w:r>
    </w:p>
    <w:bookmarkEnd w:id="30"/>
    <w:bookmarkStart w:id="31" w:name="დაწყებამდე"/>
    <w:p>
      <w:pPr>
        <w:pStyle w:val="Heading2"/>
      </w:pPr>
      <w:r>
        <w:t xml:space="preserve">8. დაწყებამდე</w:t>
      </w:r>
    </w:p>
    <w:p>
      <w:pPr>
        <w:numPr>
          <w:ilvl w:val="0"/>
          <w:numId w:val="1003"/>
        </w:numPr>
        <w:pStyle w:val="Compact"/>
      </w:pPr>
      <w:r>
        <w:t xml:space="preserve">შეამოწმეთ, საკითხი გადაუდებელია თუ არა. თუ ასეა, ჯერ მკურნალობა დაიწყეთ.</w:t>
      </w:r>
    </w:p>
    <w:p>
      <w:pPr>
        <w:numPr>
          <w:ilvl w:val="0"/>
          <w:numId w:val="1003"/>
        </w:numPr>
        <w:pStyle w:val="Compact"/>
      </w:pPr>
      <w:r>
        <w:t xml:space="preserve">შეაგროვეთ კლინიკური ფაქტები, პაციენტის სურვილები და შესაბამისი ჩანაწერები.</w:t>
      </w:r>
    </w:p>
    <w:bookmarkEnd w:id="31"/>
    <w:bookmarkStart w:id="32" w:name="პროცედურა"/>
    <w:p>
      <w:pPr>
        <w:pStyle w:val="Heading2"/>
      </w:pPr>
      <w:r>
        <w:t xml:space="preserve">9. პროცედურა</w:t>
      </w:r>
    </w:p>
    <w:p>
      <w:pPr>
        <w:pStyle w:val="FirstParagraph"/>
      </w:pPr>
      <w:r>
        <w:t xml:space="preserve">ნაბიჯი 1. კონსულტაციის მოთხოვნა.</w:t>
      </w:r>
    </w:p>
    <w:p>
      <w:pPr>
        <w:numPr>
          <w:ilvl w:val="0"/>
          <w:numId w:val="1004"/>
        </w:numPr>
        <w:pStyle w:val="Compact"/>
      </w:pPr>
      <w:r>
        <w:t xml:space="preserve">დასახელებულ ეთიკის საკონტაქტო პირს დაუკავშირდით ტელეფონით ან ელფოსტით, ან შეავსეთ მოთხოვნის ფორმა.</w:t>
      </w:r>
    </w:p>
    <w:p>
      <w:pPr>
        <w:numPr>
          <w:ilvl w:val="0"/>
          <w:numId w:val="1004"/>
        </w:numPr>
        <w:pStyle w:val="Compact"/>
      </w:pPr>
      <w:r>
        <w:t xml:space="preserve">აღწერეთ კითხვა, კლინიკური ფაქტები მოკლედ და დროის ზეწოლა.</w:t>
      </w:r>
    </w:p>
    <w:p>
      <w:pPr>
        <w:pStyle w:val="FirstParagraph"/>
      </w:pPr>
      <w:r>
        <w:rPr>
          <w:bCs/>
          <w:b/>
        </w:rPr>
        <w:t xml:space="preserve">მთავარი პუნქტი:</w:t>
      </w:r>
      <w:r>
        <w:t xml:space="preserve"> </w:t>
      </w:r>
      <w:r>
        <w:t xml:space="preserve">მკაფიო კითხვა სასარგებლო პასუხს იღებს.</w:t>
      </w:r>
    </w:p>
    <w:p>
      <w:pPr>
        <w:pStyle w:val="BodyText"/>
      </w:pPr>
      <w:r>
        <w:t xml:space="preserve">ნაბიჯი 2. კონსულტაციის მოწყობა.</w:t>
      </w:r>
    </w:p>
    <w:p>
      <w:pPr>
        <w:numPr>
          <w:ilvl w:val="0"/>
          <w:numId w:val="1005"/>
        </w:numPr>
        <w:pStyle w:val="Compact"/>
      </w:pPr>
      <w:r>
        <w:t xml:space="preserve">საკონტაქტო პირი არაგადაუდებელ შემთხვევებში კონსულტაციას ორი სამუშაო დღის ფარგლებში მოაწყობს, ხოლო იმ შემთხვევაში, სადაც შეყოვნება ზიანს იწვევს, იმავე დღეს (EC).</w:t>
      </w:r>
    </w:p>
    <w:p>
      <w:pPr>
        <w:numPr>
          <w:ilvl w:val="0"/>
          <w:numId w:val="1005"/>
        </w:numPr>
        <w:pStyle w:val="Compact"/>
      </w:pPr>
      <w:r>
        <w:t xml:space="preserve">მოიწვიეთ მომთხოვნი კლინიცისტი, სადაც შესაბამისია — პაციენტი ან მისი წარმომადგენელი, და შესაბამისი გამოცდილების მქონე წევრები.</w:t>
      </w:r>
    </w:p>
    <w:p>
      <w:pPr>
        <w:pStyle w:val="FirstParagraph"/>
      </w:pPr>
      <w:r>
        <w:rPr>
          <w:bCs/>
          <w:b/>
        </w:rPr>
        <w:t xml:space="preserve">მთავარი პუნქტი:</w:t>
      </w:r>
      <w:r>
        <w:t xml:space="preserve"> </w:t>
      </w:r>
      <w:r>
        <w:t xml:space="preserve">დროული რჩევა სასარგებლო რჩევაა. დაგვიანებული რჩევა შეყოვნებაა.</w:t>
      </w:r>
    </w:p>
    <w:p>
      <w:pPr>
        <w:pStyle w:val="BodyText"/>
      </w:pPr>
      <w:r>
        <w:t xml:space="preserve">ნაბიჯი 3. კონსულტაციის ჩატარება.</w:t>
      </w:r>
    </w:p>
    <w:p>
      <w:pPr>
        <w:numPr>
          <w:ilvl w:val="0"/>
          <w:numId w:val="1006"/>
        </w:numPr>
        <w:pStyle w:val="Compact"/>
      </w:pPr>
      <w:r>
        <w:t xml:space="preserve">წარმოადგინეთ ფაქტები, დაინტერესებული ღირებულებები, ვარიანტები და თითოეულის სავარაუდო შედეგები.</w:t>
      </w:r>
    </w:p>
    <w:p>
      <w:pPr>
        <w:numPr>
          <w:ilvl w:val="0"/>
          <w:numId w:val="1006"/>
        </w:numPr>
        <w:pStyle w:val="Compact"/>
      </w:pPr>
      <w:r>
        <w:t xml:space="preserve">რჩევა მიეცით წერილობით, მიზეზების მითითებით.</w:t>
      </w:r>
    </w:p>
    <w:p>
      <w:pPr>
        <w:numPr>
          <w:ilvl w:val="0"/>
          <w:numId w:val="1006"/>
        </w:numPr>
        <w:pStyle w:val="Compact"/>
      </w:pPr>
      <w:r>
        <w:t xml:space="preserve">ნათლად მიუთითეთ, რომ რჩევა არ ცვლის მკურნალი გუნდის, პაციენტის ან კანონის გადაწყვეტილებას.</w:t>
      </w:r>
    </w:p>
    <w:p>
      <w:pPr>
        <w:pStyle w:val="FirstParagraph"/>
      </w:pPr>
      <w:r>
        <w:rPr>
          <w:bCs/>
          <w:b/>
        </w:rPr>
        <w:t xml:space="preserve">მთავარი პუნქტი:</w:t>
      </w:r>
      <w:r>
        <w:t xml:space="preserve"> </w:t>
      </w:r>
      <w:r>
        <w:t xml:space="preserve">რჩევა დასაბუთებული უნდა იყოს. შიშველი რეკომენდაცია გუნდისთვის სასარგებლო არ არის.</w:t>
      </w:r>
    </w:p>
    <w:p>
      <w:pPr>
        <w:pStyle w:val="BodyText"/>
      </w:pPr>
      <w:r>
        <w:t xml:space="preserve">ნაბიჯი 4. კონსულტაციის ჩაწერა.</w:t>
      </w:r>
    </w:p>
    <w:p>
      <w:pPr>
        <w:numPr>
          <w:ilvl w:val="0"/>
          <w:numId w:val="1007"/>
        </w:numPr>
        <w:pStyle w:val="Compact"/>
      </w:pPr>
      <w:r>
        <w:t xml:space="preserve">კონსულტაციების ჟურნალში (GOV-REG-003) შეიტანეთ თარიღი, კითხვა (იდენტიფიკატორების გარეშე), მიცემული რჩევა და მიზეზები.</w:t>
      </w:r>
    </w:p>
    <w:p>
      <w:pPr>
        <w:numPr>
          <w:ilvl w:val="0"/>
          <w:numId w:val="1007"/>
        </w:numPr>
        <w:pStyle w:val="Compact"/>
      </w:pPr>
      <w:r>
        <w:t xml:space="preserve">წერილობითი რჩევა შეინახეთ შეზღუდული წვდომის ეთიკის ფაილში.</w:t>
      </w:r>
    </w:p>
    <w:p>
      <w:pPr>
        <w:pStyle w:val="FirstParagraph"/>
      </w:pPr>
      <w:r>
        <w:rPr>
          <w:bCs/>
          <w:b/>
        </w:rPr>
        <w:t xml:space="preserve">მთავარი პუნქტი:</w:t>
      </w:r>
      <w:r>
        <w:t xml:space="preserve"> </w:t>
      </w:r>
      <w:r>
        <w:t xml:space="preserve">ჟურნალი აჩვენებს, რომ გზა გამოიყენება და რას ურჩევს. ის პაციენტს არ ასახელებს.</w:t>
      </w:r>
    </w:p>
    <w:p>
      <w:pPr>
        <w:pStyle w:val="BodyText"/>
      </w:pPr>
      <w:r>
        <w:t xml:space="preserve">ნაბიჯი 5. გზისა და შემთხვევების განხილვა.</w:t>
      </w:r>
    </w:p>
    <w:p>
      <w:pPr>
        <w:numPr>
          <w:ilvl w:val="0"/>
          <w:numId w:val="1008"/>
        </w:numPr>
        <w:pStyle w:val="Compact"/>
      </w:pPr>
      <w:r>
        <w:t xml:space="preserve">მმართველი ორგანო ყოველწლიურად განიხილავს კონსულტაციების რაოდენობასა და ტიპს.</w:t>
      </w:r>
    </w:p>
    <w:p>
      <w:pPr>
        <w:numPr>
          <w:ilvl w:val="0"/>
          <w:numId w:val="1008"/>
        </w:numPr>
        <w:pStyle w:val="Compact"/>
      </w:pPr>
      <w:r>
        <w:t xml:space="preserve">პოლიტიკა ან ტრენინგი განაახლეთ, სადაც შაბლონი საჭიროებას აჩვენებს.</w:t>
      </w:r>
    </w:p>
    <w:p>
      <w:pPr>
        <w:pStyle w:val="FirstParagraph"/>
      </w:pPr>
      <w:r>
        <w:rPr>
          <w:bCs/>
          <w:b/>
        </w:rPr>
        <w:t xml:space="preserve">მთავარი პუნქტი:</w:t>
      </w:r>
      <w:r>
        <w:t xml:space="preserve"> </w:t>
      </w:r>
      <w:r>
        <w:t xml:space="preserve">შაბლონები აჩვენებს, სად სჭირდება პერსონალს ტრენინგი და სად არის პოლიტიკა ბუნდოვანი.</w:t>
      </w:r>
    </w:p>
    <w:bookmarkEnd w:id="32"/>
    <w:bookmarkStart w:id="33" w:name="გადაწყვეტილების-წერტილები"/>
    <w:p>
      <w:pPr>
        <w:pStyle w:val="Heading2"/>
      </w:pPr>
      <w:r>
        <w:t xml:space="preserve">10. გადაწყვეტილების წერტილები</w:t>
      </w:r>
    </w:p>
    <w:p>
      <w:pPr>
        <w:numPr>
          <w:ilvl w:val="0"/>
          <w:numId w:val="1009"/>
        </w:numPr>
        <w:pStyle w:val="Compact"/>
      </w:pPr>
      <w:r>
        <w:t xml:space="preserve">თუ მომთხოვნი კლინიცისტი რჩევას არ ეთანხმება, გადაწყვეტილება რჩება მკურნალ გუნდთან კანონის ფარგლებში, ხოლო უთანხმოება ჩაიწერება.</w:t>
      </w:r>
    </w:p>
    <w:p>
      <w:pPr>
        <w:numPr>
          <w:ilvl w:val="0"/>
          <w:numId w:val="1009"/>
        </w:numPr>
        <w:pStyle w:val="Compact"/>
      </w:pPr>
      <w:r>
        <w:t xml:space="preserve">თუ დილემა ბავშვს ან შესაძლებლობის არმქონე პაციენტს ეხება, ასევე მიჰყევით შესაბამის სამართლებრივ გზას (EC).</w:t>
      </w:r>
    </w:p>
    <w:bookmarkEnd w:id="33"/>
    <w:bookmarkStart w:id="34"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პაციენტის ან ოჯახის მოთხოვნა ეთიკურ რჩევაზე</w:t>
            </w:r>
          </w:p>
        </w:tc>
        <w:tc>
          <w:tcPr/>
          <w:p>
            <w:pPr>
              <w:pStyle w:val="Compact"/>
              <w:jc w:val="left"/>
            </w:pPr>
            <w:r>
              <w:t xml:space="preserve">მიიღეთ მოთხოვნა და გაატარეთ იგივე პროცესით.</w:t>
            </w:r>
          </w:p>
        </w:tc>
      </w:tr>
    </w:tbl>
    <w:bookmarkEnd w:id="34"/>
    <w:bookmarkStart w:id="35" w:name="ესკალაცია"/>
    <w:p>
      <w:pPr>
        <w:pStyle w:val="Heading2"/>
      </w:pPr>
      <w:r>
        <w:t xml:space="preserve">12. ესკალაცია</w:t>
      </w:r>
    </w:p>
    <w:p>
      <w:pPr>
        <w:numPr>
          <w:ilvl w:val="0"/>
          <w:numId w:val="1010"/>
        </w:numPr>
        <w:pStyle w:val="Compact"/>
      </w:pPr>
      <w:r>
        <w:t xml:space="preserve">თუ გზა მიუწვდომელია ან არ რეაგირებს, იმავე დღეს აცნობეთ აღმასრულებელ დირექტორს.</w:t>
      </w:r>
    </w:p>
    <w:bookmarkEnd w:id="35"/>
    <w:bookmarkStart w:id="36"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ზომა</w:t>
            </w:r>
          </w:p>
        </w:tc>
        <w:tc>
          <w:tcPr/>
          <w:p>
            <w:pPr>
              <w:pStyle w:val="Compact"/>
              <w:jc w:val="left"/>
            </w:pPr>
            <w:r>
              <w:t xml:space="preserve">სამიზნე მაჩვენებელი</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მოთხოვნებზე პასუხი დადგენილ ვადაში</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ეთიკის საკონტაქტო პირი</w:t>
            </w:r>
          </w:p>
        </w:tc>
        <w:tc>
          <w:tcPr/>
          <w:p>
            <w:pPr>
              <w:pStyle w:val="Compact"/>
              <w:jc w:val="left"/>
            </w:pPr>
            <w:r>
              <w:t xml:space="preserve">გადაეცით აღმასრულებელ დირექტორს</w:t>
            </w:r>
          </w:p>
        </w:tc>
      </w:tr>
      <w:tr>
        <w:tc>
          <w:tcPr/>
          <w:p>
            <w:pPr>
              <w:pStyle w:val="Compact"/>
              <w:jc w:val="left"/>
            </w:pPr>
            <w:r>
              <w:t xml:space="preserve">ჟურნალში ჩაწერილი კონსულტაციები</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ეთიკის საკონტაქტო პირი</w:t>
            </w:r>
          </w:p>
        </w:tc>
        <w:tc>
          <w:tcPr/>
          <w:p>
            <w:pPr>
              <w:pStyle w:val="Compact"/>
              <w:jc w:val="left"/>
            </w:pPr>
            <w:r>
              <w:t xml:space="preserve">სრული ჩანაწერი 5 დღეში</w:t>
            </w:r>
          </w:p>
        </w:tc>
      </w:tr>
      <w:tr>
        <w:tc>
          <w:tcPr/>
          <w:p>
            <w:pPr>
              <w:pStyle w:val="Compact"/>
              <w:jc w:val="left"/>
            </w:pPr>
            <w:r>
              <w:t xml:space="preserve">პერსონალი, რომელიც იცის, როგორ მოითხოვოს კონსულტაცია (შერჩევა)</w:t>
            </w:r>
          </w:p>
        </w:tc>
        <w:tc>
          <w:tcPr/>
          <w:p>
            <w:pPr>
              <w:pStyle w:val="Compact"/>
              <w:jc w:val="left"/>
            </w:pPr>
            <w:r>
              <w:t xml:space="preserve">80% (EC)</w:t>
            </w:r>
          </w:p>
        </w:tc>
        <w:tc>
          <w:tcPr/>
          <w:p>
            <w:pPr>
              <w:pStyle w:val="Compact"/>
              <w:jc w:val="left"/>
            </w:pPr>
            <w:r>
              <w:t xml:space="preserve">წელიწადში ერთხელ</w:t>
            </w:r>
          </w:p>
        </w:tc>
        <w:tc>
          <w:tcPr/>
          <w:p>
            <w:pPr>
              <w:pStyle w:val="Compact"/>
              <w:jc w:val="left"/>
            </w:pPr>
            <w:r>
              <w:t xml:space="preserve">ხარისხის ხელმძღვანელი</w:t>
            </w:r>
          </w:p>
        </w:tc>
        <w:tc>
          <w:tcPr/>
          <w:p>
            <w:pPr>
              <w:pStyle w:val="Compact"/>
              <w:jc w:val="left"/>
            </w:pPr>
            <w:r>
              <w:t xml:space="preserve">ინსტრუქტაჟი</w:t>
            </w:r>
          </w:p>
        </w:tc>
      </w:tr>
    </w:tbl>
    <w:bookmarkEnd w:id="36"/>
    <w:bookmarkStart w:id="37"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კონსულტაციების ჟურნალი (GOV-REG-003)</w:t>
            </w:r>
          </w:p>
        </w:tc>
        <w:tc>
          <w:tcPr/>
          <w:p>
            <w:pPr>
              <w:pStyle w:val="Compact"/>
              <w:jc w:val="left"/>
            </w:pPr>
            <w:r>
              <w:t xml:space="preserve">მმართველობის ფაილი, პაციენტის იდენტიფიკატორების გარეშე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r>
        <w:tc>
          <w:tcPr/>
          <w:p>
            <w:pPr>
              <w:pStyle w:val="Compact"/>
              <w:jc w:val="left"/>
            </w:pPr>
            <w:r>
              <w:t xml:space="preserve">წერილობითი რჩევა</w:t>
            </w:r>
          </w:p>
        </w:tc>
        <w:tc>
          <w:tcPr/>
          <w:p>
            <w:pPr>
              <w:pStyle w:val="Compact"/>
              <w:jc w:val="left"/>
            </w:pPr>
            <w:r>
              <w:t xml:space="preserve">შეზღუდული წვდომის ეთიკის ფაილი</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7"/>
    <w:bookmarkStart w:id="38" w:name="სწავლება"/>
    <w:p>
      <w:pPr>
        <w:pStyle w:val="Heading2"/>
      </w:pPr>
      <w:r>
        <w:t xml:space="preserve">15. სწავლება</w:t>
      </w:r>
    </w:p>
    <w:p>
      <w:pPr>
        <w:numPr>
          <w:ilvl w:val="0"/>
          <w:numId w:val="1011"/>
        </w:numPr>
        <w:pStyle w:val="Compact"/>
      </w:pPr>
      <w:r>
        <w:t xml:space="preserve">ეთიკის საკონტაქტო პირები და კომიტეტის წევრები გადამზადებულნი არიან კლინიკურ ეთიკაში (EC).</w:t>
      </w:r>
    </w:p>
    <w:p>
      <w:pPr>
        <w:numPr>
          <w:ilvl w:val="0"/>
          <w:numId w:val="1011"/>
        </w:numPr>
        <w:pStyle w:val="Compact"/>
      </w:pPr>
      <w:r>
        <w:t xml:space="preserve">ყველა კლინიცისტი დანიშვნისას ინსტრუქტირდება, როგორ მოითხოვოს რჩევა.</w:t>
      </w:r>
    </w:p>
    <w:bookmarkEnd w:id="38"/>
    <w:bookmarkStart w:id="42"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9">
              <w:r>
                <w:rPr>
                  <w:rStyle w:val="Hyperlink"/>
                </w:rPr>
                <w:t xml:space="preserve">GOV-SOP-002</w:t>
              </w:r>
            </w:hyperlink>
          </w:p>
        </w:tc>
        <w:tc>
          <w:tcPr/>
          <w:p>
            <w:pPr>
              <w:pStyle w:val="Compact"/>
              <w:jc w:val="left"/>
            </w:pPr>
            <w:r>
              <w:t xml:space="preserve">ეთიკური კონსულტაციის პროცედურა</w:t>
            </w:r>
          </w:p>
        </w:tc>
        <w:tc>
          <w:tcPr/>
          <w:p>
            <w:pPr>
              <w:pStyle w:val="Compact"/>
              <w:jc w:val="left"/>
            </w:pPr>
            <w:r>
              <w:t xml:space="preserve">პროცედურა დეტალურად</w:t>
            </w:r>
          </w:p>
        </w:tc>
      </w:tr>
      <w:tr>
        <w:tc>
          <w:tcPr/>
          <w:p>
            <w:pPr>
              <w:pStyle w:val="Compact"/>
              <w:jc w:val="left"/>
            </w:pPr>
            <w:hyperlink r:id="rId40">
              <w:r>
                <w:rPr>
                  <w:rStyle w:val="Hyperlink"/>
                </w:rPr>
                <w:t xml:space="preserve">GOV-REG-003</w:t>
              </w:r>
            </w:hyperlink>
          </w:p>
        </w:tc>
        <w:tc>
          <w:tcPr/>
          <w:p>
            <w:pPr>
              <w:pStyle w:val="Compact"/>
              <w:jc w:val="left"/>
            </w:pPr>
            <w:r>
              <w:t xml:space="preserve">ეთიკური კონსულტაციების ჟურნალი</w:t>
            </w:r>
          </w:p>
        </w:tc>
        <w:tc>
          <w:tcPr/>
          <w:p>
            <w:pPr>
              <w:pStyle w:val="Compact"/>
              <w:jc w:val="left"/>
            </w:pPr>
            <w:r>
              <w:t xml:space="preserve">ჟურნალი</w:t>
            </w:r>
          </w:p>
        </w:tc>
      </w:tr>
      <w:tr>
        <w:tc>
          <w:tcPr/>
          <w:p>
            <w:pPr>
              <w:pStyle w:val="Compact"/>
              <w:jc w:val="left"/>
            </w:pPr>
            <w:r>
              <w:t xml:space="preserve">SOP-N05</w:t>
            </w:r>
          </w:p>
        </w:tc>
        <w:tc>
          <w:tcPr/>
          <w:p>
            <w:pPr>
              <w:pStyle w:val="Compact"/>
              <w:jc w:val="left"/>
            </w:pPr>
            <w:r>
              <w:t xml:space="preserve">კვლევის ეთიკა და ადამიანის სუბიექტების დაცვა</w:t>
            </w:r>
          </w:p>
        </w:tc>
        <w:tc>
          <w:tcPr/>
          <w:p>
            <w:pPr>
              <w:pStyle w:val="Compact"/>
              <w:jc w:val="left"/>
            </w:pPr>
            <w:r>
              <w:t xml:space="preserve">კვლევის ეთიკა ცალკე არის</w:t>
            </w:r>
          </w:p>
        </w:tc>
      </w:tr>
      <w:tr>
        <w:tc>
          <w:tcPr/>
          <w:p>
            <w:pPr>
              <w:pStyle w:val="Compact"/>
              <w:jc w:val="left"/>
            </w:pPr>
            <w:hyperlink r:id="rId41">
              <w:r>
                <w:rPr>
                  <w:rStyle w:val="Hyperlink"/>
                </w:rPr>
                <w:t xml:space="preserve">CON-POL-001</w:t>
              </w:r>
            </w:hyperlink>
          </w:p>
        </w:tc>
        <w:tc>
          <w:tcPr/>
          <w:p>
            <w:pPr>
              <w:pStyle w:val="Compact"/>
              <w:jc w:val="left"/>
            </w:pPr>
            <w:r>
              <w:t xml:space="preserve">Patient Rights and Responsibilities</w:t>
            </w:r>
          </w:p>
        </w:tc>
        <w:tc>
          <w:tcPr/>
          <w:p>
            <w:pPr>
              <w:pStyle w:val="Compact"/>
              <w:jc w:val="left"/>
            </w:pPr>
            <w:r>
              <w:t xml:space="preserve">პაციენტის უფლებები გადაწყვეტილებებში</w:t>
            </w:r>
          </w:p>
        </w:tc>
      </w:tr>
    </w:tbl>
    <w:bookmarkEnd w:id="42"/>
    <w:bookmarkStart w:id="43"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წყარო</w:t>
            </w:r>
          </w:p>
        </w:tc>
        <w:tc>
          <w:tcPr/>
          <w:p>
            <w:pPr>
              <w:pStyle w:val="Compact"/>
              <w:jc w:val="left"/>
            </w:pPr>
            <w:r>
              <w:t xml:space="preserve">შენიშვნა</w:t>
            </w:r>
          </w:p>
        </w:tc>
      </w:tr>
      <w:tr>
        <w:tc>
          <w:tcPr/>
          <w:p>
            <w:pPr>
              <w:pStyle w:val="Compact"/>
              <w:jc w:val="left"/>
            </w:pPr>
            <w:r>
              <w:t xml:space="preserve">E-006</w:t>
            </w:r>
          </w:p>
        </w:tc>
        <w:tc>
          <w:tcPr/>
          <w:p>
            <w:pPr>
              <w:pStyle w:val="Compact"/>
              <w:jc w:val="left"/>
            </w:pPr>
            <w:r>
              <w:t xml:space="preserve">ASF პოლიტიკის ჩარჩო v1.2.</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 ვადები და წევრობა EC-ის გადაწყვეტილებებია.</w:t>
            </w:r>
          </w:p>
        </w:tc>
      </w:tr>
    </w:tbl>
    <w:bookmarkEnd w:id="43"/>
    <w:bookmarkStart w:id="44"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jc w:val="left"/>
            </w:pPr>
            <w:r>
              <w:t xml:space="preserve">დამტკიცებულია ASF ექსპერტთა კომიტეტის მიერ</w:t>
            </w:r>
          </w:p>
        </w:tc>
      </w:tr>
      <w:tr>
        <w:tc>
          <w:tcPr/>
          <w:p>
            <w:pPr>
              <w:pStyle w:val="Compact"/>
              <w:jc w:val="left"/>
            </w:pPr>
            <w:r>
              <w:t xml:space="preserve">1.1</w:t>
            </w:r>
          </w:p>
        </w:tc>
        <w:tc>
          <w:tcPr/>
          <w:p>
            <w:pPr>
              <w:pStyle w:val="Compact"/>
            </w:pPr>
          </w:p>
        </w:tc>
        <w:tc>
          <w:tcPr/>
          <w:p>
            <w:pPr>
              <w:pStyle w:val="Compact"/>
              <w:jc w:val="left"/>
            </w:pPr>
            <w:r>
              <w:t xml:space="preserve">შიდა ხარისხის მიმოხილვა: გასწორებული ჯვარედინი მითითებები, სტატუსის ფორმულირება და დოკუმენტების კონტროლი</w:t>
            </w:r>
          </w:p>
        </w:tc>
        <w:tc>
          <w:tcPr/>
          <w:p>
            <w:pPr>
              <w:pStyle w:val="Compact"/>
              <w:jc w:val="left"/>
            </w:pPr>
            <w:r>
              <w:t xml:space="preserve">დამტკიცებულია ASF ექსპერტთა კომიტეტის მიერ</w:t>
            </w:r>
          </w:p>
        </w:tc>
      </w:tr>
    </w:tbl>
    <w:bookmarkEnd w:id="44"/>
    <w:bookmarkStart w:id="45" w:name="ამ-დოკუმენტის-ელექტრონული-სწავლება"/>
    <w:p>
      <w:pPr>
        <w:pStyle w:val="Heading2"/>
      </w:pPr>
      <w:r>
        <w:t xml:space="preserve">ამ დოკუმენტის ელექტრონული სწავლება</w:t>
      </w:r>
    </w:p>
    <w:p>
      <w:pPr>
        <w:numPr>
          <w:ilvl w:val="0"/>
          <w:numId w:val="1012"/>
        </w:numPr>
        <w:pStyle w:val="Compact"/>
      </w:pPr>
      <w:r>
        <w:t xml:space="preserve">Healthcare Ethics for ASF Accreditation</w:t>
      </w:r>
      <w:r>
        <w:t xml:space="preserve"> </w:t>
      </w:r>
      <w:r>
        <w:t xml:space="preserve">(A-07)</w:t>
      </w:r>
    </w:p>
    <w:bookmarkEnd w:id="45"/>
    <w:bookmarkStart w:id="46" w:name="წყაროები"/>
    <w:p>
      <w:pPr>
        <w:pStyle w:val="Heading2"/>
      </w:pPr>
      <w:r>
        <w:t xml:space="preserve">წყაროები</w:t>
      </w:r>
    </w:p>
    <w:p>
      <w:pPr>
        <w:numPr>
          <w:ilvl w:val="0"/>
          <w:numId w:val="1013"/>
        </w:numPr>
        <w:pStyle w:val="Compact"/>
      </w:pPr>
      <w:r>
        <w:t xml:space="preserve">Accréditation Sans Frontières (2026). ASF Expert Committee consensus on Standard 1.</w:t>
      </w:r>
      <w:r>
        <w:t xml:space="preserve"> </w:t>
      </w:r>
      <w:r>
        <w:t xml:space="preserve">(E-009)</w:t>
      </w:r>
    </w:p>
    <w:p>
      <w:pPr>
        <w:numPr>
          <w:ilvl w:val="0"/>
          <w:numId w:val="1013"/>
        </w:numPr>
        <w:pStyle w:val="Compact"/>
      </w:pPr>
      <w:r>
        <w:t xml:space="preserve">Accréditation Sans Frontières (2026). ASF Policy Framework v1.2.</w:t>
      </w:r>
      <w:r>
        <w:t xml:space="preserve"> </w:t>
      </w:r>
      <w:r>
        <w:t xml:space="preserve">(E-006)</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documents/gov-reg-003/" TargetMode="External" /><Relationship Type="http://schemas.openxmlformats.org/officeDocument/2006/relationships/hyperlink" Id="rId39" Target="/documents/gov-sop-002/" TargetMode="External" /><Relationship Type="http://schemas.openxmlformats.org/officeDocument/2006/relationships/hyperlink" Id="rId41" Target="/ka/documents/con-pol-001/" TargetMode="External" /><Relationship Type="http://schemas.openxmlformats.org/officeDocument/2006/relationships/hyperlink" Id="rId22" Target="/ka/resources/policies/" TargetMode="External" /><Relationship Type="http://schemas.openxmlformats.org/officeDocument/2006/relationships/hyperlink" Id="rId20" Target="/ka/standards/" TargetMode="External" /><Relationship Type="http://schemas.openxmlformats.org/officeDocument/2006/relationships/hyperlink" Id="rId21" Target="/ka/standards/standard-2a/" TargetMode="External" /><Relationship Type="http://schemas.openxmlformats.org/officeDocument/2006/relationships/hyperlink" Id="rId23" Target="/ka/standards/standard-2a/#c2a-9" TargetMode="External" /></Relationships>
</file>

<file path=word/_rels/footnotes.xml.rels><?xml version="1.0" encoding="UTF-8"?><Relationships xmlns="http://schemas.openxmlformats.org/package/2006/relationships"><Relationship Type="http://schemas.openxmlformats.org/officeDocument/2006/relationships/hyperlink" Id="rId40" Target="/documents/gov-reg-003/" TargetMode="External" /><Relationship Type="http://schemas.openxmlformats.org/officeDocument/2006/relationships/hyperlink" Id="rId39" Target="/documents/gov-sop-002/" TargetMode="External" /><Relationship Type="http://schemas.openxmlformats.org/officeDocument/2006/relationships/hyperlink" Id="rId41" Target="/ka/documents/con-pol-001/" TargetMode="External" /><Relationship Type="http://schemas.openxmlformats.org/officeDocument/2006/relationships/hyperlink" Id="rId22" Target="/ka/resources/policies/" TargetMode="External" /><Relationship Type="http://schemas.openxmlformats.org/officeDocument/2006/relationships/hyperlink" Id="rId20" Target="/ka/standards/" TargetMode="External" /><Relationship Type="http://schemas.openxmlformats.org/officeDocument/2006/relationships/hyperlink" Id="rId21" Target="/ka/standards/standard-2a/" TargetMode="External" /><Relationship Type="http://schemas.openxmlformats.org/officeDocument/2006/relationships/hyperlink" Id="rId23" Target="/ka/standards/standard-2a/#c2a-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GOV-POL-004: კლინიკური ეთიკური კონსულტაციის პოლიტიკა და საქმიანობის წესები</dc:title>
  <dc:creator/>
  <dc:language>ka</dc:language>
  <cp:keywords/>
  <dcterms:created xsi:type="dcterms:W3CDTF">2026-11-07T01:49:03Z</dcterms:created>
  <dcterms:modified xsi:type="dcterms:W3CDTF">2026-11-07T01:49:03Z</dcterms:modified>
</cp:coreProperties>
</file>

<file path=docProps/custom.xml><?xml version="1.0" encoding="utf-8"?>
<Properties xmlns="http://schemas.openxmlformats.org/officeDocument/2006/custom-properties" xmlns:vt="http://schemas.openxmlformats.org/officeDocument/2006/docPropsVTypes"/>
</file>