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2A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GOV-POL-005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2A.10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მინიმუმ ერთ პაციენტს ან ოჯახის წარმომადგენელს აქვს წერილობითი როლი ხარისხის განხილვაში ან მმართველობის დისკუსიაში.</w:t>
      </w:r>
    </w:p>
    <w:p>
      <w:pPr>
        <w:numPr>
          <w:ilvl w:val="0"/>
          <w:numId w:val="1001"/>
        </w:numPr>
        <w:pStyle w:val="Compact"/>
      </w:pPr>
      <w:r>
        <w:t xml:space="preserve">წარმომადგენელი მიწვეულია ხარისხის შეხვედრებზე და წინასწარ იღებს დოკუმენტებს.</w:t>
      </w:r>
    </w:p>
    <w:p>
      <w:pPr>
        <w:numPr>
          <w:ilvl w:val="0"/>
          <w:numId w:val="1001"/>
        </w:numPr>
        <w:pStyle w:val="Compact"/>
      </w:pPr>
      <w:r>
        <w:t xml:space="preserve">წარმომადგენელს შეუძლია საკითხების დაყენება და მისი წვლილი აღირიცხება ოქმში.</w:t>
      </w:r>
    </w:p>
    <w:p>
      <w:pPr>
        <w:numPr>
          <w:ilvl w:val="0"/>
          <w:numId w:val="1001"/>
        </w:numPr>
        <w:pStyle w:val="Compact"/>
      </w:pPr>
      <w:r>
        <w:t xml:space="preserve">ობიექტი წარმომადგენელს უბრუნებს ინფორმაციას, თუ რა შეიცვალა მის შედეგად.</w:t>
      </w:r>
    </w:p>
    <w:p>
      <w:pPr>
        <w:numPr>
          <w:ilvl w:val="0"/>
          <w:numId w:val="1001"/>
        </w:numPr>
        <w:pStyle w:val="Compact"/>
      </w:pPr>
      <w:r>
        <w:t xml:space="preserve">შეაჩერეთ და დაუყოვნებლივ მიმართეთ დახმარებას, თუ: წარმომადგენელი აყენებს შეშფოთებას, რომელიც არ არის აღრიცხული ან წერილობით პასუხგაცემული.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პაციენტებსა და ოჯახებს ჰქონდეთ სტრუქტურირებული როლი მმართველობისა და ხარისხის გაუმჯობესებაში და არა მხოლოდ არაპირდაპირი წვლილი ჩივილებისა და გამოკითხვების გზით [E-006, EC].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მმართველი ორგანო, ხარისხის კომიტეტი და დანიშნული წარმომადგენელი(ები)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მმართველი ორგანოსა და ხარისხის კომიტეტის შეხვედრები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დაგეგმილ ყოველ შეხვედრაზე, სადაც განიხილება ხარისხი და უსაფრთხოება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პაციენტების ინდივიდუალური ჩივილები, რომლებიც მუშავდება INC-POL-002-ის მიხედვით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წარმომადგენელი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პაციენტი, ყოფილი პაციენტი ან ოჯახის წევრი, რომელიც დათანხმდა სტრუქტურირებულ როლზე წერილობითი როლის აღწერით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წერილობითი 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დოკუმენტი, რომელიც ადგენს წარმომადგენლის მოვალეობებს, ვადას, ხარჯებსა და მხარდაჭერას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პაციენტები და ოჯახები ხედავენ იმას, რაც პერსონალმა შესაძლოა ვერ დაინახოს. კრიტერიუმი 2A.10 მოითხოვს სტრუქტურირებულ როლს, რაც ნიშნავს დასახელებულ პირს, წერილობით როლს და ჩანაწერს იმის შესახებ, რა შეიტანა მან.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მმართველი ორგანო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ათანხმებს წერილობით როლს და ნიშნავს წარმომადგენელს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მმართველობის ტრენინგი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ხარისხის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იწვევს წარმომადგენელს; უგზავნის დოკუმენტებს; აღრიცხავს წვლილს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ხარისხის მმართველობა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წარმომადგენელი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ესწრება, ემზადება, წარმოადგენს პაციენტებისა და ოჯახების მოსაზრებებს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ტრენინგი და მხარდაჭერა (EC)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წერილობით პასუხობს წარმომადგენლის წვლილს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აღმასრულებელი ხელმძღვანელობა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წერილობითი როლის აღწერა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მიმდინარე; ხელმოწერილი წარმომადგენლისა და თავმჯდომარის მიერ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თარიღიანი და ხელმოწერილი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დამსწრეთა რეესტრი (GOV-REG-004)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ივსება ყოველ შეხვედრაზე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წარმომადგენელი ექვემდებარება ობიექტის კონფიდენციალურობის წესებს და არ უნდა გაამჟღავნოს პაციენტის იდენტიფიცირებადი ინფორმაცია.</w:t>
      </w:r>
    </w:p>
    <w:p>
      <w:pPr>
        <w:numPr>
          <w:ilvl w:val="0"/>
          <w:numId w:val="1002"/>
        </w:numPr>
        <w:pStyle w:val="Compact"/>
      </w:pPr>
      <w:r>
        <w:t xml:space="preserve">წარმომადგენელს არ მოეთხოვება პირადი ჯანმრთელობის დეტალების გამჟღავნება.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დოკუმენტები გაგზავნეთ მინიმუმ ხუთი სამუშაო დღით ადრე შეხვედრამდე.</w:t>
      </w:r>
    </w:p>
    <w:p>
      <w:pPr>
        <w:numPr>
          <w:ilvl w:val="0"/>
          <w:numId w:val="1003"/>
        </w:numPr>
        <w:pStyle w:val="Compact"/>
      </w:pPr>
      <w:r>
        <w:t xml:space="preserve">შეამოწმეთ, აქვს თუ არა წარმომადგენელს საჭირო მხარდაჭერა, მაგალითად თარჯიმანი ან მგზავრობის ანაზღაურება (EC).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წერილობითი როლის შეთანხმება.</w:t>
      </w:r>
    </w:p>
    <w:p>
      <w:pPr>
        <w:numPr>
          <w:ilvl w:val="0"/>
          <w:numId w:val="1004"/>
        </w:numPr>
        <w:pStyle w:val="Compact"/>
      </w:pPr>
      <w:r>
        <w:t xml:space="preserve">შეადგინეთ როლის აღწერა: მიზანი, მოვალეობები, ვადა (მაგალითად ორი წელი), ხარჯები, მხარდაჭერა და კონფიდენციალურობა.</w:t>
      </w:r>
    </w:p>
    <w:p>
      <w:pPr>
        <w:numPr>
          <w:ilvl w:val="0"/>
          <w:numId w:val="1004"/>
        </w:numPr>
        <w:pStyle w:val="Compact"/>
      </w:pPr>
      <w:r>
        <w:t xml:space="preserve">წარმომადგენელი და თავმჯდომარე ხელს აწერენ მას.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წერილობითი როლი წარმომადგენელს სტატუსს ანიჭებს და ყველას ეუბნება, რა უნდა მოელოდეს.</w:t>
      </w:r>
    </w:p>
    <w:p>
      <w:pPr>
        <w:pStyle w:val="BodyText"/>
      </w:pPr>
      <w:r>
        <w:t xml:space="preserve">ნაბიჯი 2. წარმომადგენლის მოწვევა და მომზადება.</w:t>
      </w:r>
    </w:p>
    <w:p>
      <w:pPr>
        <w:numPr>
          <w:ilvl w:val="0"/>
          <w:numId w:val="1005"/>
        </w:numPr>
        <w:pStyle w:val="Compact"/>
      </w:pPr>
      <w:r>
        <w:t xml:space="preserve">მიიწვიეთ წარმომადგენელი ყოველ ხარისხისა და მმართველობის შეხვედრაზე, სადაც განიხილება უსაფრთხოება ან ხარისხი.</w:t>
      </w:r>
    </w:p>
    <w:p>
      <w:pPr>
        <w:numPr>
          <w:ilvl w:val="0"/>
          <w:numId w:val="1005"/>
        </w:numPr>
        <w:pStyle w:val="Compact"/>
      </w:pPr>
      <w:r>
        <w:t xml:space="preserve">გაუგზავნეთ დოკუმენტები გასაგებ ენაზე, ტექნიკური ტერმინების ახსნით.</w:t>
      </w:r>
    </w:p>
    <w:p>
      <w:pPr>
        <w:numPr>
          <w:ilvl w:val="0"/>
          <w:numId w:val="1005"/>
        </w:numPr>
        <w:pStyle w:val="Compact"/>
      </w:pPr>
      <w:r>
        <w:t xml:space="preserve">შესთავაზეთ ბრიფინგი პირველ შეხვედრამდე.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წარმომადგენელი, რომელიც დოკუმენტებს ვერ მიჰყვება, ვერ შეიტანს წვლილს.</w:t>
      </w:r>
    </w:p>
    <w:p>
      <w:pPr>
        <w:pStyle w:val="BodyText"/>
      </w:pPr>
      <w:r>
        <w:t xml:space="preserve">ნაბიჯი 3. აღრიცხეთ მისი წვლილი.</w:t>
      </w:r>
    </w:p>
    <w:p>
      <w:pPr>
        <w:numPr>
          <w:ilvl w:val="0"/>
          <w:numId w:val="1006"/>
        </w:numPr>
        <w:pStyle w:val="Compact"/>
      </w:pPr>
      <w:r>
        <w:t xml:space="preserve">აღრიცხეთ ყოველი წვლილი ოქმში (GOV-FRM-003) პასუხთან ერთად.</w:t>
      </w:r>
    </w:p>
    <w:p>
      <w:pPr>
        <w:numPr>
          <w:ilvl w:val="0"/>
          <w:numId w:val="1006"/>
        </w:numPr>
        <w:pStyle w:val="Compact"/>
      </w:pPr>
      <w:r>
        <w:t xml:space="preserve">დარწმუნდით, რომ წარმომადგენელს მოსაზრება ეკითხებათ ყოველ დღის წესრიგის პუნქტზე, სადაც პაციენტები ზემოქმედებას განიცდიან.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თუ მოსაზრება ოქმში არ არის, მმართველი ორგანოსთვის ის არ მომხდარა.</w:t>
      </w:r>
    </w:p>
    <w:p>
      <w:pPr>
        <w:pStyle w:val="BodyText"/>
      </w:pPr>
      <w:r>
        <w:t xml:space="preserve">ნაბიჯი 4. წერილობით პასუხი.</w:t>
      </w:r>
    </w:p>
    <w:p>
      <w:pPr>
        <w:numPr>
          <w:ilvl w:val="0"/>
          <w:numId w:val="1007"/>
        </w:numPr>
        <w:pStyle w:val="Compact"/>
      </w:pPr>
      <w:r>
        <w:t xml:space="preserve">აღმასრულებელი დირექტორი ყოველ შეშფოთებასა და წინადადებაზე წერილობით პასუხობს 30 დღეში.</w:t>
      </w:r>
    </w:p>
    <w:p>
      <w:pPr>
        <w:numPr>
          <w:ilvl w:val="0"/>
          <w:numId w:val="1007"/>
        </w:numPr>
        <w:pStyle w:val="Compact"/>
      </w:pPr>
      <w:r>
        <w:t xml:space="preserve">აუხსენით, რა შეიცვლება და რა არა, მიზეზებით.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პასუხი არის ის, რაც წარმომადგენლის როლს მნიშვნელობას ანიჭებს.</w:t>
      </w:r>
    </w:p>
    <w:p>
      <w:pPr>
        <w:pStyle w:val="BodyText"/>
      </w:pPr>
      <w:r>
        <w:t xml:space="preserve">ნაბიჯი 5. ინფორმაციის დაბრუნება პაციენტებისთვის.</w:t>
      </w:r>
    </w:p>
    <w:p>
      <w:pPr>
        <w:numPr>
          <w:ilvl w:val="0"/>
          <w:numId w:val="1008"/>
        </w:numPr>
        <w:pStyle w:val="Compact"/>
      </w:pPr>
      <w:r>
        <w:t xml:space="preserve">ყოველ ექვს თვეში გააზიარეთ წარმომადგენლის წვლილის შედეგები პაციენტებთან პაციენტთა საბჭოსა და განცხადებების დაფის საშუალებით.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პაციენტებმა უნდა დაინახონ, რომ მათმა ხმამ რაიმე შეცვალა.</w:t>
      </w:r>
    </w:p>
    <w:p>
      <w:pPr>
        <w:pStyle w:val="BodyText"/>
      </w:pPr>
      <w:r>
        <w:t xml:space="preserve">ნაბიჯი 6. როლის ყოველწლიური განხილვა.</w:t>
      </w:r>
    </w:p>
    <w:p>
      <w:pPr>
        <w:numPr>
          <w:ilvl w:val="0"/>
          <w:numId w:val="1009"/>
        </w:numPr>
        <w:pStyle w:val="Compact"/>
      </w:pPr>
      <w:r>
        <w:t xml:space="preserve">წარმომადგენელთან ერთად ყოველწლიურად განიხილეთ როლის აღწერა, ვადა და მხარდაჭერა.</w:t>
      </w:r>
    </w:p>
    <w:p>
      <w:pPr>
        <w:numPr>
          <w:ilvl w:val="0"/>
          <w:numId w:val="1009"/>
        </w:numPr>
        <w:pStyle w:val="Compact"/>
      </w:pPr>
      <w:r>
        <w:t xml:space="preserve">აღრიცხეთ განხილვა.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არაგანხილული როლები დეკორაცია ხდება.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10"/>
        </w:numPr>
        <w:pStyle w:val="Compact"/>
      </w:pPr>
      <w:r>
        <w:t xml:space="preserve">თუ წარმომადგენელი პაციენტის უსაფრთხოების საკითხს აყენებს, თავმჯდომარე უზრუნველყოფს, რომ ის იმავე დღეს გადაეცეს შესაბამის ინციდენტის ან ჩივილის არხს.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წარმომადგენელი არ არის ხელმისაწვდომი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მმართველი ორგანო აღრიცხავს ვაკანსიას და ახალი წარმომადგენლის მოსაძებნად გადადგმულ ნაბიჯებს; როლს თანამშრომელი არ იკავებს.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11"/>
        </w:numPr>
        <w:pStyle w:val="Compact"/>
      </w:pPr>
      <w:r>
        <w:t xml:space="preserve">შეშფოთება იმის შესახებ, რომ წარმომადგენელს არ უსმენენ, მიდის მმართველი ორგანოს თავმჯდომარესთან.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დანიშნულია წარმომადგენელი წერილობითი როლით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მმართველობის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მმართველ ორგანოსთან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წარმომადგენლის მიერ დასწრებული შეხვედრები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80% (EC)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მმართველობის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განხილვებისა და მხარდაჭერის მოწვევები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წვლილი აღრიცხულია პასუხით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შეხვედრაზე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მმართველობის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თავმჯდომარე განიხილავს ოქმებს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წერილობითი როლის აღწერა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მმართველობის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როლის ხანგრძლივობა პლუს ობიექტის ჩანაწერების პოლიტიკით დადგენილი პერიოდი, წლები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დამსწრეთა რეესტრი (GOV-REG-004)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მმართველობის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ოქმები წარმომადგენლის წვლილით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მმართველობის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12"/>
        </w:numPr>
        <w:pStyle w:val="Compact"/>
      </w:pPr>
      <w:r>
        <w:t xml:space="preserve">წარმომადგენლები პირველ შეხვედრამდე იღებენ ბრიფინგს ობიექტის, მისი მმართველობისა და კონფიდენციალურობის შესახებ (EC).</w:t>
      </w:r>
    </w:p>
    <w:p>
      <w:pPr>
        <w:numPr>
          <w:ilvl w:val="0"/>
          <w:numId w:val="1012"/>
        </w:numPr>
        <w:pStyle w:val="Compact"/>
      </w:pPr>
      <w:r>
        <w:t xml:space="preserve">მმართველობის წევრები ინფორმირებულები არიან პაციენტის მოსაზრების გამოყენების შესახებ.</w:t>
      </w:r>
    </w:p>
    <w:bookmarkEnd w:id="38"/>
    <w:bookmarkStart w:id="43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CON-POL-003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პაციენტთა საბჭოს ფუნქციონირების წესები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პაციენტთა საბჭო მუშაობს წარმომადგენელთან ერთად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GOV-REG-004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დამსწრეთა რეესტრი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დასწრების 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INC-POL-002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ჩივილები და უკუკავშირი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ინდივიდუალური ჩივილების არხი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2">
              <w:r>
                <w:rPr>
                  <w:rStyle w:val="Hyperlink"/>
                </w:rPr>
                <w:t xml:space="preserve">GOV-POL-001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მმართველი ორგანოს ფუნქციონირების წესები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უფლებამოსილება</w:t>
            </w:r>
          </w:p>
        </w:tc>
      </w:tr>
    </w:tbl>
    <w:bookmarkEnd w:id="43"/>
    <w:bookmarkStart w:id="44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ვადა, ხარჯები და წარმომადგენელთა რაოდენობა EC-ის გადაწყვეტილებებია.</w:t>
            </w:r>
          </w:p>
        </w:tc>
      </w:tr>
    </w:tbl>
    <w:bookmarkEnd w:id="44"/>
    <w:bookmarkStart w:id="45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განხილვა: გასწორებულია ჯვარედინი მითითებები, სტატუსის ფორმულირება და დოკუმენტის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45"/>
    <w:bookmarkStart w:id="47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3"/>
        </w:numPr>
        <w:pStyle w:val="Compact"/>
      </w:pPr>
      <w:hyperlink r:id="rId46">
        <w:r>
          <w:rPr>
            <w:rStyle w:val="Hyperlink"/>
          </w:rPr>
          <w:t xml:space="preserve">ჩივილების დამუშავება და პაციენტის უკუკავშირი</w:t>
        </w:r>
      </w:hyperlink>
      <w:r>
        <w:t xml:space="preserve"> </w:t>
      </w:r>
      <w:r>
        <w:t xml:space="preserve">(T-12)</w:t>
      </w:r>
    </w:p>
    <w:bookmarkEnd w:id="47"/>
    <w:bookmarkStart w:id="50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4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4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8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9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5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con-pol-003/" TargetMode="External" /><Relationship Type="http://schemas.openxmlformats.org/officeDocument/2006/relationships/hyperlink" Id="rId42" Target="/ka/documents/gov-pol-001/" TargetMode="External" /><Relationship Type="http://schemas.openxmlformats.org/officeDocument/2006/relationships/hyperlink" Id="rId40" Target="/ka/documents/gov-reg-004/" TargetMode="External" /><Relationship Type="http://schemas.openxmlformats.org/officeDocument/2006/relationships/hyperlink" Id="rId41" Target="/ka/documents/inc-pol-002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a/" TargetMode="External" /><Relationship Type="http://schemas.openxmlformats.org/officeDocument/2006/relationships/hyperlink" Id="rId23" Target="/ka/standards/standard-2a/#c2a-10" TargetMode="External" /><Relationship Type="http://schemas.openxmlformats.org/officeDocument/2006/relationships/hyperlink" Id="rId46" Target="https://academy.gmj.ge/courses/asf-t-12-en/" TargetMode="External" /><Relationship Type="http://schemas.openxmlformats.org/officeDocument/2006/relationships/hyperlink" Id="rId49" Target="https://france-asf.fr/wp-content/uploads/2026/10/gov-pol-005-form-1.docx" TargetMode="External" /><Relationship Type="http://schemas.openxmlformats.org/officeDocument/2006/relationships/hyperlink" Id="rId48" Target="https://france-asf.fr/wp-content/uploads/2026/10/gov-pol-005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con-pol-003/" TargetMode="External" /><Relationship Type="http://schemas.openxmlformats.org/officeDocument/2006/relationships/hyperlink" Id="rId42" Target="/ka/documents/gov-pol-001/" TargetMode="External" /><Relationship Type="http://schemas.openxmlformats.org/officeDocument/2006/relationships/hyperlink" Id="rId40" Target="/ka/documents/gov-reg-004/" TargetMode="External" /><Relationship Type="http://schemas.openxmlformats.org/officeDocument/2006/relationships/hyperlink" Id="rId41" Target="/ka/documents/inc-pol-002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a/" TargetMode="External" /><Relationship Type="http://schemas.openxmlformats.org/officeDocument/2006/relationships/hyperlink" Id="rId23" Target="/ka/standards/standard-2a/#c2a-10" TargetMode="External" /><Relationship Type="http://schemas.openxmlformats.org/officeDocument/2006/relationships/hyperlink" Id="rId46" Target="https://academy.gmj.ge/courses/asf-t-12-en/" TargetMode="External" /><Relationship Type="http://schemas.openxmlformats.org/officeDocument/2006/relationships/hyperlink" Id="rId49" Target="https://france-asf.fr/wp-content/uploads/2026/10/gov-pol-005-form-1.docx" TargetMode="External" /><Relationship Type="http://schemas.openxmlformats.org/officeDocument/2006/relationships/hyperlink" Id="rId48" Target="https://france-asf.fr/wp-content/uploads/2026/10/gov-pol-005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2026-11-07T01:49:51Z</dcterms:created>
  <dcterms:modified xsi:type="dcterms:W3CDTF">2026-11-07T01:49:51Z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