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Relationship Id="rId3" Type="http://schemas.openxmlformats.org/package/2006/relationships/metadata/core-properties" Target="docProps/core.xml"/><Relationship Id="rId5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>GOV-REG-002: პოლიტიკის რეგისტრი</w:t>
      </w:r>
      <w:r/>
      <w:r/>
      <w:r/>
      <w:r/>
    </w:p>
    <w:tbl>
      <w:tblPr>
        <w:tblStyle w:val="Table"/>
        <w:tblW w:type="pct" w:w="5000"/>
        <w:tblLook w:firstRow="0" w:lastRow="0" w:firstColumn="0" w:lastColumn="0" w:noHBand="0" w:noVBand="0" w:val="0000"/>
        <w:jc w:val="start"/>
      </w:tblPr>
      <w:tblGrid>
        <w:gridCol w:w="1980"/>
        <w:gridCol w:w="1980"/>
        <w:gridCol w:w="1980"/>
        <w:gridCol w:w="1980"/>
      </w:tblGrid>
      <w:tr>
        <w:tc>
          <w:tcPr/>
          <w:p>
            <w:pPr>
              <w:pStyle w:val="Compact"/>
              <w:jc w:val="left"/>
            </w:pPr>
            <w:r>
              <w:t>ორგანიზაციის სახელი</w:t>
            </w:r>
          </w:p>
          <w:p>
            <w:pPr>
              <w:pStyle w:val="Compact"/>
              <w:jc w:val="left"/>
            </w:pPr>
            <w:r>
              <w:t>ობიექტი ან განყოფილება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>რეგისტრი</w:t>
            </w:r>
          </w:p>
          <w:p>
            <w:pPr>
              <w:pStyle w:val="Compact"/>
              <w:jc w:val="left"/>
            </w:pPr>
            <w:r>
              <w:t>პოლიტიკის რეგისტრი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>დოკუმენტის ID</w:t>
            </w:r>
          </w:p>
        </w:tc>
        <w:tc>
          <w:tcPr/>
          <w:p>
            <w:pPr>
              <w:pStyle w:val="Compact"/>
              <w:jc w:val="left"/>
            </w:pPr>
            <w:r>
              <w:t>GOV-REG-002</w:t>
            </w:r>
          </w:p>
        </w:tc>
        <w:tc>
          <w:tcPr/>
          <w:p>
            <w:pPr>
              <w:pStyle w:val="Compact"/>
              <w:jc w:val="left"/>
            </w:pPr>
            <w:r>
              <w:t>ვერსია</w:t>
            </w:r>
          </w:p>
        </w:tc>
        <w:tc>
          <w:tcPr/>
          <w:p>
            <w:pPr>
              <w:pStyle w:val="Compact"/>
              <w:jc w:val="left"/>
            </w:pPr>
            <w:r>
              <w:t>1.0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სტატუსი</w:t>
            </w:r>
          </w:p>
        </w:tc>
        <w:tc>
          <w:tcPr/>
          <w:p>
            <w:pPr>
              <w:pStyle w:val="Compact"/>
              <w:jc w:val="left"/>
            </w:pPr>
            <w:r>
              <w:t>ცარიელი ფორმა, მოსარგებად</w:t>
            </w:r>
          </w:p>
        </w:tc>
        <w:tc>
          <w:tcPr/>
          <w:p>
            <w:pPr>
              <w:pStyle w:val="Compact"/>
              <w:jc w:val="left"/>
            </w:pPr>
            <w:r>
              <w:t>გამოშვების თარიღი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 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გადახედვის თარიღი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 </w:t>
            </w:r>
          </w:p>
        </w:tc>
        <w:tc>
          <w:tcPr/>
          <w:p>
            <w:pPr>
              <w:pStyle w:val="Compact"/>
              <w:jc w:val="left"/>
            </w:pPr>
            <w:r>
              <w:t>ანაცვლებს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 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პასუხისმგებელი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 </w:t>
            </w:r>
          </w:p>
        </w:tc>
        <w:tc>
          <w:tcPr/>
          <w:p>
            <w:pPr>
              <w:pStyle w:val="Compact"/>
              <w:jc w:val="left"/>
            </w:pPr>
            <w:r>
              <w:t>დაამტკიცა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 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ხელმოწერა</w:t>
            </w:r>
          </w:p>
        </w:tc>
        <w:tc>
          <w:tcPr>
            <w:gridSpan w:val="3"/>
          </w:tcPr>
          <w:p>
            <w:pPr>
              <w:pStyle w:val="Compact"/>
              <w:jc w:val="left"/>
            </w:pPr>
            <w:r>
              <w:t xml:space="preserve"> </w:t>
            </w:r>
          </w:p>
        </w:tc>
      </w:tr>
    </w:tbl>
    <w:p>
      <w:pPr>
        <w:pStyle w:val="BodyText"/>
      </w:pPr>
      <w:hyperlink r:id="rId20">
        <w:r>
          <w:rPr>
            <w:rStyle w:val="Hyperlink"/>
          </w:rPr>
          <w:t xml:space="preserve">Standards</w:t>
        </w:r>
      </w:hyperlink>
      <w:r>
        <w:t xml:space="preserve"> ›  › </w:t>
      </w:r>
      <w:r/>
      <w:r/>
      <w:hyperlink r:id="rId21">
        <w:r>
          <w:rPr>
            <w:rStyle w:val="Hyperlink"/>
          </w:rPr>
          <w:t xml:space="preserve">Standard 2A</w:t>
        </w:r>
      </w:hyperlink>
      <w:r/>
      <w:r/>
      <w:r/>
      <w:hyperlink r:id="rId22">
        <w:r>
          <w:rPr>
            <w:rStyle w:val="Hyperlink"/>
          </w:rPr>
          <w:t xml:space="preserve">Registers and logs</w:t>
        </w:r>
      </w:hyperlink>
    </w:p>
    <w:p>
      <w:pPr>
        <w:pStyle w:val="BodyText"/>
      </w:pPr>
      <w:r>
        <w:t>რეგისტრი · GOV-REG-002 · ვერსია 1.1 · დამტკიცებულია ASF ექსპერტთა კომიტეტის მიერ</w:t>
      </w:r>
    </w:p>
    <w:p>
      <w:pPr>
        <w:pStyle w:val="BodyText"/>
      </w:pPr>
      <w:r>
        <w:rPr>
          <w:bCs/>
          <w:b/>
        </w:rPr>
        <w:t xml:space="preserve">მხარს უჭერს: </w:t>
      </w:r>
      <w:r/>
      <w:hyperlink r:id="rId23">
        <w:r>
          <w:rPr>
            <w:rStyle w:val="Hyperlink"/>
          </w:rPr>
          <w:t xml:space="preserve">2A.3</w:t>
        </w:r>
      </w:hyperlink>
    </w:p>
    <w:bookmarkStart w:id="24" w:name="purpose"/>
    <w:p>
      <w:pPr>
        <w:pStyle w:val="Heading2"/>
      </w:pPr>
      <w:r>
        <w:t>დანიშნულება</w:t>
      </w:r>
    </w:p>
    <w:p>
      <w:pPr>
        <w:pStyle w:val="FirstParagraph"/>
      </w:pPr>
      <w:r>
        <w:t>ყველა პოლიტიკის სია, მისი მფლობელი, ვერსია, დამტკიცება, გადახედვის თარიღი და სტატუსი.</w:t>
      </w:r>
    </w:p>
    <w:bookmarkEnd w:id="24"/>
    <w:bookmarkStart w:id="25" w:name="how-to-complete"/>
    <w:p>
      <w:pPr>
        <w:pStyle w:val="Heading2"/>
      </w:pPr>
      <w:r>
        <w:t>როგორ შევავსოთ</w:t>
      </w:r>
    </w:p>
    <w:p>
      <w:pPr>
        <w:numPr>
          <w:ilvl w:val="0"/>
          <w:numId w:val="1001"/>
        </w:numPr>
        <w:pStyle w:val="Compact"/>
      </w:pPr>
      <w:r>
        <w:t>დამტკიცებისას დაამატეთ ყოველი პოლიტიკა.</w:t>
      </w:r>
    </w:p>
    <w:p>
      <w:pPr>
        <w:numPr>
          <w:ilvl w:val="0"/>
          <w:numId w:val="1001"/>
        </w:numPr>
        <w:pStyle w:val="Compact"/>
      </w:pPr>
      <w:r>
        <w:t>ყოველი ცვლილებისას განაახლეთ ვერსია და გადახედვის თარიღი.</w:t>
      </w:r>
    </w:p>
    <w:p>
      <w:pPr>
        <w:numPr>
          <w:ilvl w:val="0"/>
          <w:numId w:val="1001"/>
        </w:numPr>
        <w:pStyle w:val="Compact"/>
      </w:pPr>
      <w:r>
        <w:t>გაუქმებული პოლიტიკები მონიშნეთ როგორც მოხსნილი; არ წაშალოთ.</w:t>
      </w:r>
    </w:p>
    <w:bookmarkEnd w:id="25"/>
    <w:bookmarkStart w:id="26" w:name="record-fields"/>
    <w:p>
      <w:pPr>
        <w:pStyle w:val="Heading2"/>
      </w:pPr>
      <w:r>
        <w:t>ჩასაწერი ველები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1131"/>
        <w:gridCol w:w="1131"/>
        <w:gridCol w:w="1131"/>
        <w:gridCol w:w="1131"/>
        <w:gridCol w:w="1131"/>
        <w:gridCol w:w="1131"/>
        <w:gridCol w:w="1131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>პოლიტიკის ID</w:t>
            </w:r>
          </w:p>
        </w:tc>
        <w:tc>
          <w:tcPr/>
          <w:p>
            <w:pPr>
              <w:pStyle w:val="Compact"/>
              <w:jc w:val="left"/>
            </w:pPr>
            <w:r>
              <w:t>სათაური</w:t>
            </w:r>
          </w:p>
        </w:tc>
        <w:tc>
          <w:tcPr/>
          <w:p>
            <w:pPr>
              <w:pStyle w:val="Compact"/>
              <w:jc w:val="left"/>
            </w:pPr>
            <w:r>
              <w:t>მფლობელი (როლი)</w:t>
            </w:r>
          </w:p>
        </w:tc>
        <w:tc>
          <w:tcPr/>
          <w:p>
            <w:pPr>
              <w:pStyle w:val="Compact"/>
              <w:jc w:val="left"/>
            </w:pPr>
            <w:r>
              <w:t>ვერსია</w:t>
            </w:r>
          </w:p>
        </w:tc>
        <w:tc>
          <w:tcPr/>
          <w:p>
            <w:pPr>
              <w:pStyle w:val="Compact"/>
              <w:jc w:val="left"/>
            </w:pPr>
            <w:r>
              <w:t>დამმტკიცებელი და თარიღი</w:t>
            </w:r>
          </w:p>
        </w:tc>
        <w:tc>
          <w:tcPr/>
          <w:p>
            <w:pPr>
              <w:pStyle w:val="Compact"/>
              <w:jc w:val="left"/>
            </w:pPr>
            <w:r>
              <w:t>გადახედვის თარიღი</w:t>
            </w:r>
          </w:p>
        </w:tc>
        <w:tc>
          <w:tcPr/>
          <w:p>
            <w:pPr>
              <w:pStyle w:val="Compact"/>
              <w:jc w:val="left"/>
            </w:pPr>
            <w:r>
              <w:t>სტატუსი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</w:tbl>
    <w:bookmarkEnd w:id="26"/>
    <w:bookmarkStart w:id="27" w:name="evidence"/>
    <w:p>
      <w:pPr>
        <w:pStyle w:val="Heading2"/>
      </w:pPr>
      <w:r>
        <w:t>მტკიცებულებები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3960"/>
        <w:gridCol w:w="396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>მითითება</w:t>
            </w:r>
          </w:p>
        </w:tc>
        <w:tc>
          <w:tcPr/>
          <w:p>
            <w:pPr>
              <w:pStyle w:val="Compact"/>
              <w:jc w:val="left"/>
            </w:pPr>
            <w:r>
              <w:t>შენიშვნა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E-009</w:t>
            </w:r>
          </w:p>
        </w:tc>
        <w:tc>
          <w:tcPr/>
          <w:p>
            <w:pPr>
              <w:pStyle w:val="Compact"/>
              <w:jc w:val="left"/>
            </w:pPr>
            <w:r>
              <w:t>ASF ექსპერტთა კომიტეტის კონსენსუსი.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</w:tbl>
    <w:bookmarkEnd w:id="27"/>
    <w:bookmarkStart w:id="28" w:name="change-history"/>
    <w:p>
      <w:pPr>
        <w:pStyle w:val="Heading2"/>
      </w:pPr>
      <w:r>
        <w:t>ცვლილებების ისტორია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1980"/>
        <w:gridCol w:w="1980"/>
        <w:gridCol w:w="1980"/>
        <w:gridCol w:w="198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>ვერსია</w:t>
            </w:r>
          </w:p>
        </w:tc>
        <w:tc>
          <w:tcPr/>
          <w:p>
            <w:pPr>
              <w:pStyle w:val="Compact"/>
              <w:jc w:val="left"/>
            </w:pPr>
            <w:r>
              <w:t>თარიღი</w:t>
            </w:r>
          </w:p>
        </w:tc>
        <w:tc>
          <w:tcPr/>
          <w:p>
            <w:pPr>
              <w:pStyle w:val="Compact"/>
              <w:jc w:val="left"/>
            </w:pPr>
            <w:r>
              <w:t>რა შეიცვალა</w:t>
            </w:r>
          </w:p>
        </w:tc>
        <w:tc>
          <w:tcPr/>
          <w:p>
            <w:pPr>
              <w:pStyle w:val="Compact"/>
              <w:jc w:val="left"/>
            </w:pPr>
            <w:r>
              <w:t>დამტკიცება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1.0</w:t>
            </w:r>
          </w:p>
        </w:tc>
        <w:tc>
          <w:tcPr/>
          <w:p>
            <w:pPr>
              <w:pStyle w:val="Compact"/>
              <w:jc w:val="left"/>
            </w:pPr>
            <w:r>
              <w:t>დამტკიცების თარიღი</w:t>
            </w:r>
          </w:p>
        </w:tc>
        <w:tc>
          <w:tcPr/>
          <w:p>
            <w:pPr>
              <w:pStyle w:val="Compact"/>
              <w:jc w:val="left"/>
            </w:pPr>
            <w:r>
              <w:t>პირველი ვერსია</w:t>
            </w:r>
          </w:p>
        </w:tc>
        <w:tc>
          <w:tcPr/>
          <w:p>
            <w:pPr>
              <w:pStyle w:val="Compact"/>
              <w:jc w:val="left"/>
            </w:pPr>
            <w:r>
              <w:t>დამტკიცებულია ASF ექსპერტთა კომიტეტის მიერ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>1.1</w:t>
            </w:r>
          </w:p>
        </w:tc>
        <w:tc>
          <w:tcPr/>
          <w:p>
            <w:pPr>
              <w:pStyle w:val="Compact"/>
              <w:jc w:val="left"/>
            </w:pPr>
            <w:r>
              <w:t>დამტკიცების თარიღი</w:t>
            </w:r>
          </w:p>
        </w:tc>
        <w:tc>
          <w:tcPr/>
          <w:p>
            <w:pPr>
              <w:pStyle w:val="Compact"/>
              <w:jc w:val="left"/>
            </w:pPr>
            <w:r>
              <w:t>შიდა ხარისხის მიმოხილვა: შესწორდა ჯვარედინი მითითებები, სტატუსის ფორმულირებები და დოკუმენტების კონტროლი</w:t>
            </w:r>
          </w:p>
        </w:tc>
        <w:tc>
          <w:tcPr/>
          <w:p>
            <w:pPr>
              <w:pStyle w:val="Compact"/>
              <w:jc w:val="left"/>
            </w:pPr>
            <w:r>
              <w:t>დამტკიცებულია ASF ექსპერტთა კომიტეტის მიერ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</w:tbl>
    <w:bookmarkEnd w:id="28"/>
    <w:bookmarkStart w:id="30" w:name="references"/>
    <w:p>
      <w:pPr>
        <w:pStyle w:val="Heading2"/>
      </w:pPr>
      <w:r>
        <w:t>წყაროები</w:t>
      </w:r>
    </w:p>
    <w:p>
      <w:pPr>
        <w:numPr>
          <w:ilvl w:val="0"/>
          <w:numId w:val="1002"/>
        </w:numPr>
        <w:pStyle w:val="Compact"/>
      </w:pPr>
      <w:r>
        <w:t>Accréditation Sans Frontières (2026). ASF Expert Committee consensus on Standard 1. (E-009)</w:t>
      </w:r>
      <w:r/>
      <w:r/>
    </w:p>
    <w:p>
      <w:pPr>
        <w:pStyle w:val="FirstParagraph"/>
      </w:pPr>
      <w:hyperlink r:id="rId29">
        <w:r>
          <w:rPr>
            <w:rStyle w:val="Hyperlink"/>
          </w:rPr>
          <w:t xml:space="preserve">Download this document as PDF</w:t>
        </w:r>
      </w:hyperlink>
    </w:p>
    <w:bookmarkEnd w:id="30"/>
    <w:sectPr>
      <w:headerReference w:type="default" r:id="rId9"/>
      <w:footerReference w:type="default" r:id="rId10"/>
      <w:pgSz w:w="11906" w:h="16838"/>
      <w:pgMar w:left="794" w:right="794" w:top="794" w:bottom="907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</w:hdr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abstractNum w:abstractNumId="991">
    <w:nsid w:val="A991"/>
    <w:multiLevelType w:val="multilevel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Title" w:type="paragraph">
    <w:name w:val="Abstract Title"/>
    <w:basedOn w:val="Normal"/>
    <w:next w:val="Abstract"/>
    <w:qFormat/>
    <w:pPr>
      <w:keepNext/>
      <w:keepLines/>
      <w:jc w:val="center"/>
      <w:spacing w:after="0" w:before="300"/>
    </w:pPr>
    <w:rPr>
      <w:sz w:val="20"/>
      <w:szCs w:val="20"/>
      <w:b/>
      <w:color w:val="345A8A"/>
      &gt;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7" Type="http://schemas.openxmlformats.org/officeDocument/2006/relationships/footnotes" Target="footnotes.xml"/><Relationship Id="rId8" Type="http://schemas.openxmlformats.org/officeDocument/2006/relationships/comments" Target="comments.xml"/><Relationship Id="rId22" Type="http://schemas.openxmlformats.org/officeDocument/2006/relationships/hyperlink" Target="/resources/registers/" TargetMode="External"/><Relationship Id="rId20" Type="http://schemas.openxmlformats.org/officeDocument/2006/relationships/hyperlink" Target="/standards/" TargetMode="External"/><Relationship Id="rId21" Type="http://schemas.openxmlformats.org/officeDocument/2006/relationships/hyperlink" Target="/standards/standard-2a/" TargetMode="External"/><Relationship Id="rId23" Type="http://schemas.openxmlformats.org/officeDocument/2006/relationships/hyperlink" Target="/standards/standard-2a/#c2a-3" TargetMode="External"/><Relationship Id="rId29" Type="http://schemas.openxmlformats.org/officeDocument/2006/relationships/hyperlink" Target="https://france-asf.fr/wp-content/uploads/2026/10/gov-reg-002.pdf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notes.xml.rels><?xml version='1.0' encoding='UTF-8' standalone='yes'?>
<Relationships xmlns="http://schemas.openxmlformats.org/package/2006/relationships"><Relationship Id="rId22" Type="http://schemas.openxmlformats.org/officeDocument/2006/relationships/hyperlink" Target="/resources/registers/" TargetMode="External"/><Relationship Id="rId20" Type="http://schemas.openxmlformats.org/officeDocument/2006/relationships/hyperlink" Target="/standards/" TargetMode="External"/><Relationship Id="rId21" Type="http://schemas.openxmlformats.org/officeDocument/2006/relationships/hyperlink" Target="/standards/standard-2a/" TargetMode="External"/><Relationship Id="rId23" Type="http://schemas.openxmlformats.org/officeDocument/2006/relationships/hyperlink" Target="/standards/standard-2a/#c2a-3" TargetMode="External"/><Relationship Id="rId29" Type="http://schemas.openxmlformats.org/officeDocument/2006/relationships/hyperlink" Target="https://france-asf.fr/wp-content/uploads/2026/10/gov-reg-002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GOV-REG-002: Policy Register</dc:title>
  <dc:creator/>
  <cp:keywords/>
  <dcterms:created xsi:type="dcterms:W3CDTF">2026-10-28T21:34:49Z</dcterms:created>
  <dcterms:modified xsi:type="dcterms:W3CDTF">2026-10-28T21:34:49Z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