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gov-reg-003-ეთიკური-კონსულტაციის-ჟურნალი"/>
    <w:p>
      <w:pPr>
        <w:pStyle w:val="Heading1"/>
      </w:pPr>
      <w:r>
        <w:t xml:space="preserve">GOV-REG-003: ეთიკური კონსულტაციის ჟურნალი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2A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GOV-REG-003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2A.9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ყოველ ეთიკურ კონსულტაციას პაციენტის იდენტიფიკატორების გარეშე, რომ გზის მუშაობა ჩანდეს და განიხილებოდეს.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გამოიყენეთ შემთხვევის კოდი და არა პაციენტის სახელი.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კითხვა, რჩევა და გადაწყვეტილება შეჯამებით.</w:t>
      </w:r>
    </w:p>
    <w:p>
      <w:pPr>
        <w:numPr>
          <w:ilvl w:val="0"/>
          <w:numId w:val="1001"/>
        </w:numPr>
        <w:pStyle w:val="Compact"/>
      </w:pPr>
      <w:r>
        <w:t xml:space="preserve">შეიტანეთ კონსულტაციიდან 5 დღეში.</w:t>
      </w:r>
    </w:p>
    <w:bookmarkEnd w:id="25"/>
    <w:bookmarkStart w:id="26" w:name="ჩასაწერი-ველები"/>
    <w:p>
      <w:pPr>
        <w:pStyle w:val="Heading2"/>
      </w:pPr>
      <w:r>
        <w:t xml:space="preserve">ჩასაწერი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შემთხვევის კოდი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სერვისი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კითხვა (შეჯამება)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მიცემული რჩევა (შეჯამება)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გუნდის გადაწყვეტილება (შეჯამება)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მონიტორინგი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შესწორდა ჯვარედინი მითითებები, სტატუსის ფორმულირებები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28"/>
    <w:bookmarkStart w:id="29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Healthcare Ethics for ASF Accreditation</w:t>
      </w:r>
      <w:r>
        <w:t xml:space="preserve"> </w:t>
      </w:r>
      <w:r>
        <w:t xml:space="preserve">(A-07)</w:t>
      </w:r>
    </w:p>
    <w:bookmarkEnd w:id="29"/>
    <w:bookmarkStart w:id="30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register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a/" TargetMode="External"/><Relationship Id="rId23" Type="http://schemas.openxmlformats.org/officeDocument/2006/relationships/hyperlink" Target="/ka/standards/standard-2a/#c2a-9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register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a/" TargetMode="External"/><Relationship Id="rId23" Type="http://schemas.openxmlformats.org/officeDocument/2006/relationships/hyperlink" Target="/ka/standards/standard-2a/#c2a-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2026-11-07T01:51:45Z</dcterms:created>
  <dcterms:modified xsi:type="dcterms:W3CDTF">2026-11-07T01:51:45Z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